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E47B5F" w14:textId="762D968B" w:rsidR="00F37283" w:rsidRPr="00AD0BDA" w:rsidRDefault="002708B9" w:rsidP="00AD0BDA">
      <w:pPr>
        <w:spacing w:after="0"/>
        <w:rPr>
          <w:rFonts w:ascii="Arial" w:hAnsi="Arial" w:cs="Arial"/>
          <w:b/>
          <w:bCs/>
        </w:rPr>
      </w:pPr>
      <w:r w:rsidRPr="00AD0BDA">
        <w:rPr>
          <w:rFonts w:ascii="Arial" w:hAnsi="Arial" w:cs="Arial"/>
          <w:b/>
          <w:bCs/>
        </w:rPr>
        <w:t>UC Cancer Center Biospecimen Shared Resource (UCCC BSR)</w:t>
      </w:r>
    </w:p>
    <w:p w14:paraId="28E8E934" w14:textId="7F74830F" w:rsidR="002708B9" w:rsidRDefault="002708B9" w:rsidP="000302A8">
      <w:pPr>
        <w:spacing w:after="0" w:line="276" w:lineRule="auto"/>
        <w:jc w:val="both"/>
        <w:rPr>
          <w:rFonts w:ascii="Arial" w:hAnsi="Arial" w:cs="Arial"/>
        </w:rPr>
      </w:pPr>
      <w:r w:rsidRPr="00AD0BDA">
        <w:rPr>
          <w:rFonts w:ascii="Arial" w:hAnsi="Arial" w:cs="Arial"/>
        </w:rPr>
        <w:t xml:space="preserve">The UCCC BSR, directed by Kelsey Dillehay McKillip, PhD, Associate Professor of Pathology and Laboratory Medicine, </w:t>
      </w:r>
      <w:r w:rsidR="00DC2458" w:rsidRPr="00AD0BDA">
        <w:rPr>
          <w:rFonts w:ascii="Arial" w:hAnsi="Arial" w:cs="Arial"/>
        </w:rPr>
        <w:t xml:space="preserve">was </w:t>
      </w:r>
      <w:r w:rsidRPr="00AD0BDA">
        <w:rPr>
          <w:rFonts w:ascii="Arial" w:hAnsi="Arial" w:cs="Arial"/>
        </w:rPr>
        <w:t>established in 2009 with the goal of creating a creating a centralized biospecimen resource to support basic and translational cancer research at the University of Cincinnati. Today, the BSR operates under the UC Cancer Center as a fee-for-service core facility that provides UC and CCHMC investigators with a streamlined process for obtaining high-quality human biospecimens, including tissues, biofluids, and their derivatives for research purposes. The BSR fulfills the following major functions and services: 1) screening to identify eligible participants and administering informed consent, 2) facilitating the timely collection and transport of tissue and biofluid specimens, 3) processing of human biospecimens following established procedures to ensure specimen quality and to minimize pre-analytical bias, 4) store biospecimens following best practice guidelines to ensure appropriate storage conditions and minimize the risk of loss, 5) distributing biospecimens to investigators based on study-specific needs, 6) serving as an honest broker by providing clinical data abstraction services.  To achieve excellence in these services, the BSR follows best practiced recommendations made by the International Society for Biological and Environmental Repositories (ISBER) and the National Cancer Institute (NCI).</w:t>
      </w:r>
      <w:r w:rsidR="00AD0BDA">
        <w:rPr>
          <w:rFonts w:ascii="Arial" w:hAnsi="Arial" w:cs="Arial"/>
        </w:rPr>
        <w:t xml:space="preserve"> </w:t>
      </w:r>
      <w:r w:rsidR="006E5483" w:rsidRPr="000302A8">
        <w:rPr>
          <w:rFonts w:ascii="Arial" w:hAnsi="Arial" w:cs="Arial"/>
          <w:u w:val="single"/>
        </w:rPr>
        <w:t>Offices</w:t>
      </w:r>
      <w:r w:rsidR="006E5483">
        <w:rPr>
          <w:rFonts w:ascii="Arial" w:hAnsi="Arial" w:cs="Arial"/>
        </w:rPr>
        <w:t xml:space="preserve"> consist of a </w:t>
      </w:r>
      <w:r w:rsidRPr="00AD0BDA">
        <w:rPr>
          <w:rFonts w:ascii="Arial" w:hAnsi="Arial" w:cs="Arial"/>
        </w:rPr>
        <w:t>total of 378 sq. ft. of shared office space in the Medical Sciences Building (MSB) rooms 1258, G163, and G163A.</w:t>
      </w:r>
      <w:r w:rsidR="006E5483">
        <w:rPr>
          <w:rFonts w:ascii="Arial" w:hAnsi="Arial" w:cs="Arial"/>
        </w:rPr>
        <w:t xml:space="preserve"> </w:t>
      </w:r>
      <w:r w:rsidR="006E5483" w:rsidRPr="000302A8">
        <w:rPr>
          <w:rFonts w:ascii="Arial" w:hAnsi="Arial" w:cs="Arial"/>
          <w:u w:val="single"/>
        </w:rPr>
        <w:t>Labor</w:t>
      </w:r>
      <w:r w:rsidR="000302A8" w:rsidRPr="000302A8">
        <w:rPr>
          <w:rFonts w:ascii="Arial" w:hAnsi="Arial" w:cs="Arial"/>
          <w:u w:val="single"/>
        </w:rPr>
        <w:t>atories</w:t>
      </w:r>
      <w:r w:rsidR="000302A8">
        <w:rPr>
          <w:rFonts w:ascii="Arial" w:hAnsi="Arial" w:cs="Arial"/>
        </w:rPr>
        <w:t xml:space="preserve"> consist of </w:t>
      </w:r>
      <w:r w:rsidRPr="00AD0BDA">
        <w:rPr>
          <w:rFonts w:ascii="Arial" w:hAnsi="Arial" w:cs="Arial"/>
        </w:rPr>
        <w:t>a total of 1,580 sq. ft. of laboratory space in MSB rooms 1151, 1158, 1252, 4404. Additionally, a 42-inch benchtop located in Surgical Pathology is allocated to the BSR for onsite tissue processing. This space allows for rapid processing of tissue, minimizing cold ischemic times and ensuring sample quality.</w:t>
      </w:r>
    </w:p>
    <w:p w14:paraId="48757A33" w14:textId="77777777" w:rsidR="000302A8" w:rsidRPr="00AD0BDA" w:rsidRDefault="000302A8" w:rsidP="000302A8">
      <w:pPr>
        <w:spacing w:after="0" w:line="276" w:lineRule="auto"/>
        <w:jc w:val="both"/>
        <w:rPr>
          <w:rFonts w:ascii="Arial" w:hAnsi="Arial" w:cs="Arial"/>
        </w:rPr>
      </w:pPr>
    </w:p>
    <w:p w14:paraId="0A4745E9" w14:textId="71937AAE" w:rsidR="002708B9" w:rsidRPr="006E5483" w:rsidRDefault="002708B9" w:rsidP="006E5483">
      <w:pPr>
        <w:spacing w:after="0" w:line="276" w:lineRule="auto"/>
        <w:jc w:val="both"/>
        <w:rPr>
          <w:rFonts w:ascii="Arial" w:hAnsi="Arial" w:cs="Arial"/>
          <w:b/>
          <w:bCs/>
          <w:u w:val="single"/>
        </w:rPr>
      </w:pPr>
      <w:r w:rsidRPr="006E5483">
        <w:rPr>
          <w:rFonts w:ascii="Arial" w:hAnsi="Arial" w:cs="Arial"/>
          <w:b/>
          <w:bCs/>
        </w:rPr>
        <w:t>Equipment</w:t>
      </w:r>
      <w:r w:rsidR="006E5483">
        <w:rPr>
          <w:rFonts w:ascii="Arial" w:hAnsi="Arial" w:cs="Arial"/>
          <w:b/>
          <w:bCs/>
          <w:u w:val="single"/>
        </w:rPr>
        <w:br/>
      </w:r>
      <w:r w:rsidR="006E5483">
        <w:rPr>
          <w:rFonts w:ascii="Arial" w:hAnsi="Arial" w:cs="Arial"/>
        </w:rPr>
        <w:t>C</w:t>
      </w:r>
      <w:r w:rsidRPr="00AD0BDA">
        <w:rPr>
          <w:rFonts w:ascii="Arial" w:hAnsi="Arial" w:cs="Arial"/>
        </w:rPr>
        <w:t>ombined, the BSR is equipped with the following:</w:t>
      </w:r>
    </w:p>
    <w:p w14:paraId="6B51C333" w14:textId="77777777" w:rsidR="002708B9" w:rsidRPr="00AD0BDA" w:rsidRDefault="002708B9" w:rsidP="000302A8">
      <w:pPr>
        <w:pStyle w:val="ListParagraph"/>
        <w:numPr>
          <w:ilvl w:val="0"/>
          <w:numId w:val="2"/>
        </w:numPr>
        <w:spacing w:line="276" w:lineRule="auto"/>
        <w:jc w:val="both"/>
        <w:rPr>
          <w:rFonts w:ascii="Arial" w:hAnsi="Arial" w:cs="Arial"/>
        </w:rPr>
      </w:pPr>
      <w:r w:rsidRPr="00AD0BDA">
        <w:rPr>
          <w:rFonts w:ascii="Arial" w:hAnsi="Arial" w:cs="Arial"/>
        </w:rPr>
        <w:t xml:space="preserve">Three class II biosafety cabinets (BSCs) </w:t>
      </w:r>
    </w:p>
    <w:p w14:paraId="3ABA6746" w14:textId="3D25B54E" w:rsidR="002708B9" w:rsidRPr="00AD0BDA" w:rsidRDefault="002708B9" w:rsidP="000302A8">
      <w:pPr>
        <w:pStyle w:val="ListParagraph"/>
        <w:numPr>
          <w:ilvl w:val="0"/>
          <w:numId w:val="2"/>
        </w:numPr>
        <w:spacing w:line="276" w:lineRule="auto"/>
        <w:jc w:val="both"/>
        <w:rPr>
          <w:rFonts w:ascii="Arial" w:hAnsi="Arial" w:cs="Arial"/>
        </w:rPr>
      </w:pPr>
      <w:r w:rsidRPr="00AD0BDA">
        <w:rPr>
          <w:rFonts w:ascii="Arial" w:hAnsi="Arial" w:cs="Arial"/>
        </w:rPr>
        <w:t>Four refrigerated centrifuges</w:t>
      </w:r>
    </w:p>
    <w:p w14:paraId="1C18CA10" w14:textId="77777777" w:rsidR="002708B9" w:rsidRPr="00AD0BDA" w:rsidRDefault="002708B9" w:rsidP="000302A8">
      <w:pPr>
        <w:pStyle w:val="ListParagraph"/>
        <w:numPr>
          <w:ilvl w:val="0"/>
          <w:numId w:val="2"/>
        </w:numPr>
        <w:spacing w:line="276" w:lineRule="auto"/>
        <w:jc w:val="both"/>
        <w:rPr>
          <w:rFonts w:ascii="Arial" w:hAnsi="Arial" w:cs="Arial"/>
        </w:rPr>
      </w:pPr>
      <w:r w:rsidRPr="00AD0BDA">
        <w:rPr>
          <w:rFonts w:ascii="Arial" w:hAnsi="Arial" w:cs="Arial"/>
        </w:rPr>
        <w:t>Denovix CellDrop Automated Cell Counter</w:t>
      </w:r>
    </w:p>
    <w:p w14:paraId="7E0C9549" w14:textId="7A8ADC77" w:rsidR="002708B9" w:rsidRPr="00AD0BDA" w:rsidRDefault="002708B9" w:rsidP="000302A8">
      <w:pPr>
        <w:pStyle w:val="ListParagraph"/>
        <w:numPr>
          <w:ilvl w:val="0"/>
          <w:numId w:val="2"/>
        </w:numPr>
        <w:spacing w:line="276" w:lineRule="auto"/>
        <w:jc w:val="both"/>
        <w:rPr>
          <w:rFonts w:ascii="Arial" w:hAnsi="Arial" w:cs="Arial"/>
        </w:rPr>
      </w:pPr>
      <w:r w:rsidRPr="00AD0BDA">
        <w:rPr>
          <w:rFonts w:ascii="Arial" w:hAnsi="Arial" w:cs="Arial"/>
        </w:rPr>
        <w:t>Two StrexCell CytoSensei Controlled Rate Freezers</w:t>
      </w:r>
    </w:p>
    <w:p w14:paraId="43C80AAE" w14:textId="77777777" w:rsidR="002708B9" w:rsidRPr="00AD0BDA" w:rsidRDefault="002708B9" w:rsidP="000302A8">
      <w:pPr>
        <w:pStyle w:val="ListParagraph"/>
        <w:numPr>
          <w:ilvl w:val="0"/>
          <w:numId w:val="2"/>
        </w:numPr>
        <w:spacing w:line="276" w:lineRule="auto"/>
        <w:jc w:val="both"/>
        <w:rPr>
          <w:rFonts w:ascii="Arial" w:hAnsi="Arial" w:cs="Arial"/>
        </w:rPr>
      </w:pPr>
      <w:r w:rsidRPr="00AD0BDA">
        <w:rPr>
          <w:rFonts w:ascii="Arial" w:hAnsi="Arial" w:cs="Arial"/>
        </w:rPr>
        <w:t xml:space="preserve">Brady BBP33 Label Printer </w:t>
      </w:r>
    </w:p>
    <w:p w14:paraId="6C4E841C" w14:textId="77777777" w:rsidR="002708B9" w:rsidRPr="00AD0BDA" w:rsidRDefault="002708B9" w:rsidP="000302A8">
      <w:pPr>
        <w:pStyle w:val="ListParagraph"/>
        <w:numPr>
          <w:ilvl w:val="0"/>
          <w:numId w:val="2"/>
        </w:numPr>
        <w:spacing w:line="276" w:lineRule="auto"/>
        <w:jc w:val="both"/>
        <w:rPr>
          <w:rFonts w:ascii="Arial" w:hAnsi="Arial" w:cs="Arial"/>
        </w:rPr>
      </w:pPr>
      <w:r w:rsidRPr="00AD0BDA">
        <w:rPr>
          <w:rFonts w:ascii="Arial" w:hAnsi="Arial" w:cs="Arial"/>
        </w:rPr>
        <w:t>3DHistech Pannoramic Desk Slide Scanner</w:t>
      </w:r>
    </w:p>
    <w:p w14:paraId="1B2F0A47" w14:textId="77777777" w:rsidR="002708B9" w:rsidRPr="00AD0BDA" w:rsidRDefault="002708B9" w:rsidP="000302A8">
      <w:pPr>
        <w:pStyle w:val="ListParagraph"/>
        <w:numPr>
          <w:ilvl w:val="0"/>
          <w:numId w:val="2"/>
        </w:numPr>
        <w:spacing w:line="276" w:lineRule="auto"/>
        <w:jc w:val="both"/>
        <w:rPr>
          <w:rFonts w:ascii="Arial" w:hAnsi="Arial" w:cs="Arial"/>
        </w:rPr>
      </w:pPr>
      <w:r w:rsidRPr="00AD0BDA">
        <w:rPr>
          <w:rFonts w:ascii="Arial" w:hAnsi="Arial" w:cs="Arial"/>
        </w:rPr>
        <w:t>Two refrigerators</w:t>
      </w:r>
    </w:p>
    <w:p w14:paraId="76AA130B" w14:textId="77777777" w:rsidR="002708B9" w:rsidRPr="00AD0BDA" w:rsidRDefault="002708B9" w:rsidP="000302A8">
      <w:pPr>
        <w:pStyle w:val="ListParagraph"/>
        <w:numPr>
          <w:ilvl w:val="0"/>
          <w:numId w:val="2"/>
        </w:numPr>
        <w:spacing w:line="276" w:lineRule="auto"/>
        <w:jc w:val="both"/>
        <w:rPr>
          <w:rFonts w:ascii="Arial" w:hAnsi="Arial" w:cs="Arial"/>
        </w:rPr>
      </w:pPr>
      <w:r w:rsidRPr="00AD0BDA">
        <w:rPr>
          <w:rFonts w:ascii="Arial" w:hAnsi="Arial" w:cs="Arial"/>
        </w:rPr>
        <w:t>Two -20°C freezers</w:t>
      </w:r>
    </w:p>
    <w:p w14:paraId="75A9713F" w14:textId="77777777" w:rsidR="002708B9" w:rsidRPr="00AD0BDA" w:rsidRDefault="002708B9" w:rsidP="000302A8">
      <w:pPr>
        <w:pStyle w:val="ListParagraph"/>
        <w:numPr>
          <w:ilvl w:val="0"/>
          <w:numId w:val="2"/>
        </w:numPr>
        <w:spacing w:line="276" w:lineRule="auto"/>
        <w:jc w:val="both"/>
        <w:rPr>
          <w:rFonts w:ascii="Arial" w:hAnsi="Arial" w:cs="Arial"/>
        </w:rPr>
      </w:pPr>
      <w:r w:rsidRPr="00AD0BDA">
        <w:rPr>
          <w:rFonts w:ascii="Arial" w:hAnsi="Arial" w:cs="Arial"/>
        </w:rPr>
        <w:t>Eight -80°C freezers equipped with CO</w:t>
      </w:r>
      <w:r w:rsidRPr="00AD0BDA">
        <w:rPr>
          <w:rFonts w:ascii="Arial" w:hAnsi="Arial" w:cs="Arial"/>
          <w:vertAlign w:val="subscript"/>
        </w:rPr>
        <w:t>2</w:t>
      </w:r>
      <w:r w:rsidRPr="00AD0BDA">
        <w:rPr>
          <w:rFonts w:ascii="Arial" w:hAnsi="Arial" w:cs="Arial"/>
        </w:rPr>
        <w:t xml:space="preserve"> backup systems</w:t>
      </w:r>
    </w:p>
    <w:p w14:paraId="006A7F98" w14:textId="77777777" w:rsidR="002708B9" w:rsidRPr="00AD0BDA" w:rsidRDefault="002708B9" w:rsidP="000302A8">
      <w:pPr>
        <w:pStyle w:val="ListParagraph"/>
        <w:numPr>
          <w:ilvl w:val="0"/>
          <w:numId w:val="2"/>
        </w:numPr>
        <w:spacing w:line="276" w:lineRule="auto"/>
        <w:jc w:val="both"/>
        <w:rPr>
          <w:rFonts w:ascii="Arial" w:hAnsi="Arial" w:cs="Arial"/>
        </w:rPr>
      </w:pPr>
      <w:r w:rsidRPr="00AD0BDA">
        <w:rPr>
          <w:rFonts w:ascii="Arial" w:hAnsi="Arial" w:cs="Arial"/>
        </w:rPr>
        <w:t>Four LN</w:t>
      </w:r>
      <w:r w:rsidRPr="00AD0BDA">
        <w:rPr>
          <w:rFonts w:ascii="Arial" w:hAnsi="Arial" w:cs="Arial"/>
          <w:vertAlign w:val="subscript"/>
        </w:rPr>
        <w:t>2</w:t>
      </w:r>
      <w:r w:rsidRPr="00AD0BDA">
        <w:rPr>
          <w:rFonts w:ascii="Arial" w:hAnsi="Arial" w:cs="Arial"/>
        </w:rPr>
        <w:t xml:space="preserve"> freezers</w:t>
      </w:r>
    </w:p>
    <w:p w14:paraId="36D0EC15" w14:textId="77777777" w:rsidR="002D04B1" w:rsidRDefault="002708B9" w:rsidP="002708B9">
      <w:pPr>
        <w:pStyle w:val="ListParagraph"/>
        <w:numPr>
          <w:ilvl w:val="0"/>
          <w:numId w:val="2"/>
        </w:numPr>
        <w:spacing w:line="276" w:lineRule="auto"/>
        <w:jc w:val="both"/>
        <w:rPr>
          <w:rFonts w:ascii="Arial" w:hAnsi="Arial" w:cs="Arial"/>
        </w:rPr>
      </w:pPr>
      <w:r w:rsidRPr="00AD0BDA">
        <w:rPr>
          <w:rFonts w:ascii="Arial" w:hAnsi="Arial" w:cs="Arial"/>
        </w:rPr>
        <w:t>Smart-Vue Remote Freezer Monitoring System</w:t>
      </w:r>
    </w:p>
    <w:p w14:paraId="6C34AD9D" w14:textId="07FDA717" w:rsidR="002708B9" w:rsidRPr="002D04B1" w:rsidRDefault="002D04B1" w:rsidP="002708B9">
      <w:pPr>
        <w:pStyle w:val="ListParagraph"/>
        <w:numPr>
          <w:ilvl w:val="0"/>
          <w:numId w:val="2"/>
        </w:numPr>
        <w:spacing w:line="276" w:lineRule="auto"/>
        <w:jc w:val="both"/>
        <w:rPr>
          <w:rFonts w:ascii="Arial" w:hAnsi="Arial" w:cs="Arial"/>
        </w:rPr>
      </w:pPr>
      <w:r w:rsidRPr="002D04B1">
        <w:rPr>
          <w:rFonts w:ascii="Arial" w:hAnsi="Arial" w:cs="Arial"/>
        </w:rPr>
        <w:t>S</w:t>
      </w:r>
      <w:r w:rsidR="002708B9" w:rsidRPr="002D04B1">
        <w:rPr>
          <w:rFonts w:ascii="Arial" w:hAnsi="Arial" w:cs="Arial"/>
        </w:rPr>
        <w:t>oftware: Biomaterial Tracking and Management (BTM) Software is a comprehensive web-based biospecimen management solution used to document the collection, processing, storage, and distribution of biospecimens on a study/project-specific basis. BTM also facilitates documentation corresponding clinical data while preserving the privacy, security, and ethical use of patient information. Use of BTM allows the BSR to standardize biospecimen and data handling procedures while reducing data entry errors and enabling detailed location tracking.</w:t>
      </w:r>
    </w:p>
    <w:p w14:paraId="14801F61" w14:textId="77777777" w:rsidR="002708B9" w:rsidRPr="00AD0BDA" w:rsidRDefault="002708B9">
      <w:pPr>
        <w:rPr>
          <w:rFonts w:ascii="Arial" w:hAnsi="Arial" w:cs="Arial"/>
          <w:b/>
          <w:bCs/>
        </w:rPr>
      </w:pPr>
    </w:p>
    <w:sectPr w:rsidR="002708B9" w:rsidRPr="00AD0BDA" w:rsidSect="002708B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887A8A"/>
    <w:multiLevelType w:val="hybridMultilevel"/>
    <w:tmpl w:val="28E8C9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1A16ECA"/>
    <w:multiLevelType w:val="hybridMultilevel"/>
    <w:tmpl w:val="BCD24CE6"/>
    <w:lvl w:ilvl="0" w:tplc="04090011">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16cid:durableId="1176991731">
    <w:abstractNumId w:val="0"/>
  </w:num>
  <w:num w:numId="2" w16cid:durableId="26693319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08B9"/>
    <w:rsid w:val="000302A8"/>
    <w:rsid w:val="000B2F15"/>
    <w:rsid w:val="000D2E4E"/>
    <w:rsid w:val="002708B9"/>
    <w:rsid w:val="002D04B1"/>
    <w:rsid w:val="00376E68"/>
    <w:rsid w:val="006E5483"/>
    <w:rsid w:val="00AD0BDA"/>
    <w:rsid w:val="00B96589"/>
    <w:rsid w:val="00CE02F0"/>
    <w:rsid w:val="00DC2458"/>
    <w:rsid w:val="00F37283"/>
    <w:rsid w:val="00F503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98BAB8"/>
  <w15:chartTrackingRefBased/>
  <w15:docId w15:val="{17760CA9-F2A0-4583-B98D-713124AD0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708B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708B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708B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708B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708B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708B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708B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708B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708B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08B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708B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708B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708B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708B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708B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708B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708B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708B9"/>
    <w:rPr>
      <w:rFonts w:eastAsiaTheme="majorEastAsia" w:cstheme="majorBidi"/>
      <w:color w:val="272727" w:themeColor="text1" w:themeTint="D8"/>
    </w:rPr>
  </w:style>
  <w:style w:type="paragraph" w:styleId="Title">
    <w:name w:val="Title"/>
    <w:basedOn w:val="Normal"/>
    <w:next w:val="Normal"/>
    <w:link w:val="TitleChar"/>
    <w:uiPriority w:val="10"/>
    <w:qFormat/>
    <w:rsid w:val="002708B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708B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708B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708B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708B9"/>
    <w:pPr>
      <w:spacing w:before="160"/>
      <w:jc w:val="center"/>
    </w:pPr>
    <w:rPr>
      <w:i/>
      <w:iCs/>
      <w:color w:val="404040" w:themeColor="text1" w:themeTint="BF"/>
    </w:rPr>
  </w:style>
  <w:style w:type="character" w:customStyle="1" w:styleId="QuoteChar">
    <w:name w:val="Quote Char"/>
    <w:basedOn w:val="DefaultParagraphFont"/>
    <w:link w:val="Quote"/>
    <w:uiPriority w:val="29"/>
    <w:rsid w:val="002708B9"/>
    <w:rPr>
      <w:i/>
      <w:iCs/>
      <w:color w:val="404040" w:themeColor="text1" w:themeTint="BF"/>
    </w:rPr>
  </w:style>
  <w:style w:type="paragraph" w:styleId="ListParagraph">
    <w:name w:val="List Paragraph"/>
    <w:basedOn w:val="Normal"/>
    <w:uiPriority w:val="34"/>
    <w:qFormat/>
    <w:rsid w:val="002708B9"/>
    <w:pPr>
      <w:ind w:left="720"/>
      <w:contextualSpacing/>
    </w:pPr>
  </w:style>
  <w:style w:type="character" w:styleId="IntenseEmphasis">
    <w:name w:val="Intense Emphasis"/>
    <w:basedOn w:val="DefaultParagraphFont"/>
    <w:uiPriority w:val="21"/>
    <w:qFormat/>
    <w:rsid w:val="002708B9"/>
    <w:rPr>
      <w:i/>
      <w:iCs/>
      <w:color w:val="0F4761" w:themeColor="accent1" w:themeShade="BF"/>
    </w:rPr>
  </w:style>
  <w:style w:type="paragraph" w:styleId="IntenseQuote">
    <w:name w:val="Intense Quote"/>
    <w:basedOn w:val="Normal"/>
    <w:next w:val="Normal"/>
    <w:link w:val="IntenseQuoteChar"/>
    <w:uiPriority w:val="30"/>
    <w:qFormat/>
    <w:rsid w:val="002708B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708B9"/>
    <w:rPr>
      <w:i/>
      <w:iCs/>
      <w:color w:val="0F4761" w:themeColor="accent1" w:themeShade="BF"/>
    </w:rPr>
  </w:style>
  <w:style w:type="character" w:styleId="IntenseReference">
    <w:name w:val="Intense Reference"/>
    <w:basedOn w:val="DefaultParagraphFont"/>
    <w:uiPriority w:val="32"/>
    <w:qFormat/>
    <w:rsid w:val="002708B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439</Words>
  <Characters>2507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Dillehay McKillip, Kelsey</dc:creator>
  <cp:keywords/>
  <dc:description/>
  <cp:lastModifiedBy>Mullenix, Diana (mullendc)</cp:lastModifiedBy>
  <cp:revision>9</cp:revision>
  <dcterms:created xsi:type="dcterms:W3CDTF">2024-05-15T16:37:00Z</dcterms:created>
  <dcterms:modified xsi:type="dcterms:W3CDTF">2024-05-15T17:29:00Z</dcterms:modified>
</cp:coreProperties>
</file>