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F98A46" w14:textId="77777777" w:rsidR="004B5D69" w:rsidRDefault="004B5D69" w:rsidP="004D02D4">
      <w:pPr>
        <w:contextualSpacing/>
        <w:rPr>
          <w:rFonts w:ascii="Arial" w:hAnsi="Arial" w:cs="Arial"/>
          <w:b/>
          <w:bCs/>
        </w:rPr>
      </w:pPr>
      <w:r w:rsidRPr="004B5D69">
        <w:rPr>
          <w:rFonts w:ascii="Arial" w:hAnsi="Arial" w:cs="Arial"/>
          <w:b/>
          <w:bCs/>
        </w:rPr>
        <w:t>UC Flow Cytometry Core</w:t>
      </w:r>
    </w:p>
    <w:p w14:paraId="77217D91" w14:textId="302C41A0" w:rsidR="008F3180" w:rsidRDefault="004B5D69" w:rsidP="004D02D4">
      <w:pPr>
        <w:contextualSpacing/>
        <w:jc w:val="both"/>
        <w:rPr>
          <w:rFonts w:ascii="Arial" w:hAnsi="Arial" w:cs="Arial"/>
        </w:rPr>
      </w:pPr>
      <w:r>
        <w:rPr>
          <w:rFonts w:ascii="Arial" w:hAnsi="Arial" w:cs="Arial"/>
        </w:rPr>
        <w:t>The UC Flow Cytometry Core, directed by William Miller, PhD, Professor of Molecular and Cellular Biosciences, offers convenient access to and use of two flow cytometers. Flow cytometry is a powerful tool to analyze cellular phenotypes</w:t>
      </w:r>
      <w:r w:rsidR="008F3180">
        <w:rPr>
          <w:rFonts w:ascii="Arial" w:hAnsi="Arial" w:cs="Arial"/>
        </w:rPr>
        <w:t xml:space="preserve">, cell viability, cell cycle status, etc. Flow cytometry is also becoming increasingly </w:t>
      </w:r>
      <w:r>
        <w:rPr>
          <w:rFonts w:ascii="Arial" w:hAnsi="Arial" w:cs="Arial"/>
        </w:rPr>
        <w:t>useful for analysis of secreted proteins using multiplex immunoassays such as those offered by the Biolegend LEGENDplex</w:t>
      </w:r>
      <w:r w:rsidRPr="004B5D69">
        <w:rPr>
          <w:rFonts w:ascii="Arial" w:hAnsi="Arial" w:cs="Arial"/>
          <w:vertAlign w:val="superscript"/>
        </w:rPr>
        <w:t xml:space="preserve">TM </w:t>
      </w:r>
      <w:r>
        <w:rPr>
          <w:rFonts w:ascii="Arial" w:hAnsi="Arial" w:cs="Arial"/>
        </w:rPr>
        <w:t xml:space="preserve">system. </w:t>
      </w:r>
      <w:r w:rsidR="004D02D4">
        <w:rPr>
          <w:rFonts w:ascii="Arial" w:hAnsi="Arial" w:cs="Arial"/>
        </w:rPr>
        <w:t xml:space="preserve">The Flow Cytometry Core Analyzers have capability to perform single tube or automated 96-well plates analyses. </w:t>
      </w:r>
      <w:r>
        <w:rPr>
          <w:rFonts w:ascii="Arial" w:hAnsi="Arial" w:cs="Arial"/>
        </w:rPr>
        <w:t xml:space="preserve">To provide these capabilities the Flow Cytometry Core maintains space within the Miller Laboratory on the second floor of the CARE building in Room 2872. The Flow Cytometers </w:t>
      </w:r>
      <w:r w:rsidR="000D493F">
        <w:rPr>
          <w:rFonts w:ascii="Arial" w:hAnsi="Arial" w:cs="Arial"/>
        </w:rPr>
        <w:t xml:space="preserve">do not have the capability to perform cell sorting but are state of the art multi-color analyzers. The Core Facility is designed for investigators to access the facility and perform their experiments independently and is available 24 hours a day 7 days a week. Investigators wishing to use the facility can be quickly trained by Dr. Miller or members of his laboratory. ID access can be provided to investigators so that they can gain access to the </w:t>
      </w:r>
      <w:r w:rsidR="00B02532">
        <w:rPr>
          <w:rFonts w:ascii="Arial" w:hAnsi="Arial" w:cs="Arial"/>
        </w:rPr>
        <w:t>laboratory,</w:t>
      </w:r>
      <w:r w:rsidR="000D493F">
        <w:rPr>
          <w:rFonts w:ascii="Arial" w:hAnsi="Arial" w:cs="Arial"/>
        </w:rPr>
        <w:t xml:space="preserve"> as necessary. Reservations are made using the calendar located adjacent to the Flow Cytometers and users log their time using the instrument for </w:t>
      </w:r>
      <w:r w:rsidR="008F3180">
        <w:rPr>
          <w:rFonts w:ascii="Arial" w:hAnsi="Arial" w:cs="Arial"/>
        </w:rPr>
        <w:t>later billing through the UC Stratocore system. Flat rate pricing for use of the Cytometers is in place and investigators are charged $40.00 per hour with a 30-minute minimum charge of $20.00. Investigators wishing to use the Cytometer associated software are free to do so without being charged during off-peak hours.</w:t>
      </w:r>
    </w:p>
    <w:p w14:paraId="4BD525B2" w14:textId="77777777" w:rsidR="004D02D4" w:rsidRDefault="004D02D4" w:rsidP="004D02D4">
      <w:pPr>
        <w:contextualSpacing/>
        <w:jc w:val="both"/>
        <w:rPr>
          <w:rFonts w:ascii="Arial" w:hAnsi="Arial" w:cs="Arial"/>
          <w:b/>
          <w:bCs/>
        </w:rPr>
      </w:pPr>
    </w:p>
    <w:p w14:paraId="680808F2" w14:textId="785E1193" w:rsidR="008F3180" w:rsidRPr="004D02D4" w:rsidRDefault="008F3180" w:rsidP="00641944">
      <w:pPr>
        <w:contextualSpacing/>
        <w:jc w:val="both"/>
        <w:rPr>
          <w:rFonts w:ascii="Arial" w:hAnsi="Arial" w:cs="Arial"/>
          <w:b/>
          <w:bCs/>
        </w:rPr>
      </w:pPr>
      <w:r w:rsidRPr="004D02D4">
        <w:rPr>
          <w:rFonts w:ascii="Arial" w:hAnsi="Arial" w:cs="Arial"/>
          <w:b/>
          <w:bCs/>
        </w:rPr>
        <w:t>Equipment</w:t>
      </w:r>
    </w:p>
    <w:p w14:paraId="38E56265" w14:textId="77777777" w:rsidR="00082DEE" w:rsidRDefault="008F3180" w:rsidP="00641944">
      <w:pPr>
        <w:contextualSpacing/>
        <w:jc w:val="both"/>
        <w:rPr>
          <w:rFonts w:ascii="Arial" w:hAnsi="Arial" w:cs="Arial"/>
        </w:rPr>
      </w:pPr>
      <w:r>
        <w:rPr>
          <w:rFonts w:ascii="Arial" w:hAnsi="Arial" w:cs="Arial"/>
        </w:rPr>
        <w:t>The general equipment in the Flow Cytometry Core includes</w:t>
      </w:r>
      <w:r w:rsidR="004D02D4">
        <w:rPr>
          <w:rFonts w:ascii="Arial" w:hAnsi="Arial" w:cs="Arial"/>
        </w:rPr>
        <w:t xml:space="preserve"> microcentrifuges, probe and water bath sonicators, vortexers, and other basic tools for routine flow cytometry analysis.</w:t>
      </w:r>
    </w:p>
    <w:p w14:paraId="7DC706FB" w14:textId="77777777" w:rsidR="00DF7F60" w:rsidRDefault="004D02D4" w:rsidP="00DF7F60">
      <w:pPr>
        <w:pStyle w:val="ListParagraph"/>
        <w:numPr>
          <w:ilvl w:val="0"/>
          <w:numId w:val="1"/>
        </w:numPr>
        <w:jc w:val="both"/>
        <w:rPr>
          <w:rFonts w:ascii="Arial" w:hAnsi="Arial" w:cs="Arial"/>
        </w:rPr>
      </w:pPr>
      <w:r w:rsidRPr="00E52146">
        <w:rPr>
          <w:rFonts w:ascii="Arial" w:hAnsi="Arial" w:cs="Arial"/>
          <w:u w:val="single"/>
        </w:rPr>
        <w:t>Flow Cytometry Analyzers</w:t>
      </w:r>
      <w:r w:rsidR="00082DEE" w:rsidRPr="00E52146">
        <w:rPr>
          <w:rFonts w:ascii="Arial" w:hAnsi="Arial" w:cs="Arial"/>
        </w:rPr>
        <w:t>:</w:t>
      </w:r>
    </w:p>
    <w:p w14:paraId="2BF7E90D" w14:textId="77777777" w:rsidR="00AC4972" w:rsidRDefault="004D02D4" w:rsidP="00A609FE">
      <w:pPr>
        <w:pStyle w:val="ListParagraph"/>
        <w:numPr>
          <w:ilvl w:val="1"/>
          <w:numId w:val="1"/>
        </w:numPr>
        <w:ind w:left="720"/>
        <w:jc w:val="both"/>
        <w:rPr>
          <w:rFonts w:ascii="Arial" w:hAnsi="Arial" w:cs="Arial"/>
        </w:rPr>
      </w:pPr>
      <w:r w:rsidRPr="00A609FE">
        <w:rPr>
          <w:rFonts w:ascii="Arial" w:hAnsi="Arial" w:cs="Arial"/>
          <w:b/>
          <w:bCs/>
        </w:rPr>
        <w:t xml:space="preserve">Beckman </w:t>
      </w:r>
      <w:proofErr w:type="spellStart"/>
      <w:r w:rsidRPr="00A609FE">
        <w:rPr>
          <w:rFonts w:ascii="Arial" w:hAnsi="Arial" w:cs="Arial"/>
          <w:b/>
          <w:bCs/>
        </w:rPr>
        <w:t>CytoFLEX</w:t>
      </w:r>
      <w:proofErr w:type="spellEnd"/>
      <w:r w:rsidRPr="00A609FE">
        <w:rPr>
          <w:rFonts w:ascii="Arial" w:hAnsi="Arial" w:cs="Arial"/>
          <w:b/>
          <w:bCs/>
        </w:rPr>
        <w:t xml:space="preserve"> S V2-B2-Y3-R2</w:t>
      </w:r>
      <w:r w:rsidRPr="00DF7F60">
        <w:rPr>
          <w:rFonts w:ascii="Arial" w:hAnsi="Arial" w:cs="Arial"/>
        </w:rPr>
        <w:t xml:space="preserve"> (9 Detectors, 4 Lasers)</w:t>
      </w:r>
    </w:p>
    <w:p w14:paraId="3AD3A78C" w14:textId="77777777" w:rsidR="00AC4972" w:rsidRDefault="004D02D4" w:rsidP="00A609FE">
      <w:pPr>
        <w:pStyle w:val="ListParagraph"/>
        <w:jc w:val="both"/>
        <w:rPr>
          <w:rFonts w:ascii="Arial" w:hAnsi="Arial" w:cs="Arial"/>
        </w:rPr>
      </w:pPr>
      <w:r w:rsidRPr="00AC4972">
        <w:rPr>
          <w:rFonts w:ascii="Arial" w:hAnsi="Arial" w:cs="Arial"/>
        </w:rPr>
        <w:t>Violet Laser (450/45 and 525/40 emission filters)</w:t>
      </w:r>
    </w:p>
    <w:p w14:paraId="0478911A" w14:textId="77777777" w:rsidR="00AC4972" w:rsidRDefault="004D02D4" w:rsidP="00A609FE">
      <w:pPr>
        <w:pStyle w:val="ListParagraph"/>
        <w:jc w:val="both"/>
        <w:rPr>
          <w:rFonts w:ascii="Arial" w:hAnsi="Arial" w:cs="Arial"/>
        </w:rPr>
      </w:pPr>
      <w:r>
        <w:rPr>
          <w:rFonts w:ascii="Arial" w:hAnsi="Arial" w:cs="Arial"/>
        </w:rPr>
        <w:t>Blue Laser (525/40 and 690/50 emission filters)</w:t>
      </w:r>
    </w:p>
    <w:p w14:paraId="074B5FE1" w14:textId="77777777" w:rsidR="00AC4972" w:rsidRDefault="004D02D4" w:rsidP="00A609FE">
      <w:pPr>
        <w:pStyle w:val="ListParagraph"/>
        <w:jc w:val="both"/>
        <w:rPr>
          <w:rFonts w:ascii="Arial" w:hAnsi="Arial" w:cs="Arial"/>
        </w:rPr>
      </w:pPr>
      <w:r>
        <w:rPr>
          <w:rFonts w:ascii="Arial" w:hAnsi="Arial" w:cs="Arial"/>
        </w:rPr>
        <w:t>Yellow/Green Laser (585/42, 610/20, and 780/60 filters)</w:t>
      </w:r>
    </w:p>
    <w:p w14:paraId="4CFDE2B1" w14:textId="77777777" w:rsidR="00AC4972" w:rsidRDefault="004D02D4" w:rsidP="00A609FE">
      <w:pPr>
        <w:pStyle w:val="ListParagraph"/>
        <w:jc w:val="both"/>
        <w:rPr>
          <w:rFonts w:ascii="Arial" w:hAnsi="Arial" w:cs="Arial"/>
        </w:rPr>
      </w:pPr>
      <w:r>
        <w:rPr>
          <w:rFonts w:ascii="Arial" w:hAnsi="Arial" w:cs="Arial"/>
        </w:rPr>
        <w:t>Red Laser (660/10 and 780/60 filters)</w:t>
      </w:r>
    </w:p>
    <w:p w14:paraId="20D54042" w14:textId="77777777" w:rsidR="00E52B79" w:rsidRDefault="004D02D4" w:rsidP="00A609FE">
      <w:pPr>
        <w:pStyle w:val="ListParagraph"/>
        <w:jc w:val="both"/>
        <w:rPr>
          <w:rFonts w:ascii="Arial" w:hAnsi="Arial" w:cs="Arial"/>
        </w:rPr>
      </w:pPr>
      <w:r>
        <w:rPr>
          <w:rFonts w:ascii="Arial" w:hAnsi="Arial" w:cs="Arial"/>
        </w:rPr>
        <w:t xml:space="preserve">The </w:t>
      </w:r>
      <w:proofErr w:type="spellStart"/>
      <w:r>
        <w:rPr>
          <w:rFonts w:ascii="Arial" w:hAnsi="Arial" w:cs="Arial"/>
        </w:rPr>
        <w:t>CytoFLEX</w:t>
      </w:r>
      <w:proofErr w:type="spellEnd"/>
      <w:r>
        <w:rPr>
          <w:rFonts w:ascii="Arial" w:hAnsi="Arial" w:cs="Arial"/>
        </w:rPr>
        <w:t xml:space="preserve"> is equipped with </w:t>
      </w:r>
      <w:r w:rsidR="00641944">
        <w:rPr>
          <w:rFonts w:ascii="Arial" w:hAnsi="Arial" w:cs="Arial"/>
        </w:rPr>
        <w:t>easy-to-use</w:t>
      </w:r>
      <w:r>
        <w:rPr>
          <w:rFonts w:ascii="Arial" w:hAnsi="Arial" w:cs="Arial"/>
        </w:rPr>
        <w:t xml:space="preserve"> CytE</w:t>
      </w:r>
      <w:r w:rsidR="00641944">
        <w:rPr>
          <w:rFonts w:ascii="Arial" w:hAnsi="Arial" w:cs="Arial"/>
        </w:rPr>
        <w:t>xpert acquisition and analysis software and a 96-well plate sample loader module.</w:t>
      </w:r>
    </w:p>
    <w:p w14:paraId="48CF391A" w14:textId="77777777" w:rsidR="00E52B79" w:rsidRDefault="00641944" w:rsidP="00A609FE">
      <w:pPr>
        <w:pStyle w:val="ListParagraph"/>
        <w:numPr>
          <w:ilvl w:val="1"/>
          <w:numId w:val="1"/>
        </w:numPr>
        <w:ind w:left="720"/>
        <w:jc w:val="both"/>
        <w:rPr>
          <w:rFonts w:ascii="Arial" w:hAnsi="Arial" w:cs="Arial"/>
        </w:rPr>
      </w:pPr>
      <w:r w:rsidRPr="00A609FE">
        <w:rPr>
          <w:rFonts w:ascii="Arial" w:hAnsi="Arial" w:cs="Arial"/>
          <w:b/>
          <w:bCs/>
        </w:rPr>
        <w:t xml:space="preserve">Becton Dickinson </w:t>
      </w:r>
      <w:proofErr w:type="spellStart"/>
      <w:r w:rsidRPr="00A609FE">
        <w:rPr>
          <w:rFonts w:ascii="Arial" w:hAnsi="Arial" w:cs="Arial"/>
          <w:b/>
          <w:bCs/>
        </w:rPr>
        <w:t>FACSCalibur</w:t>
      </w:r>
      <w:proofErr w:type="spellEnd"/>
      <w:r w:rsidRPr="00E52B79">
        <w:rPr>
          <w:rFonts w:ascii="Arial" w:hAnsi="Arial" w:cs="Arial"/>
        </w:rPr>
        <w:t xml:space="preserve"> (4 Detectors, 2 Lasers) </w:t>
      </w:r>
    </w:p>
    <w:p w14:paraId="7428ED1C" w14:textId="77777777" w:rsidR="00E52B79" w:rsidRDefault="00641944" w:rsidP="00A609FE">
      <w:pPr>
        <w:pStyle w:val="ListParagraph"/>
        <w:jc w:val="both"/>
        <w:rPr>
          <w:rFonts w:ascii="Arial" w:hAnsi="Arial" w:cs="Arial"/>
        </w:rPr>
      </w:pPr>
      <w:r w:rsidRPr="00E52B79">
        <w:rPr>
          <w:rFonts w:ascii="Arial" w:hAnsi="Arial" w:cs="Arial"/>
        </w:rPr>
        <w:t>Blue Laser (530/30, 585/20, and 670LP filters)</w:t>
      </w:r>
    </w:p>
    <w:p w14:paraId="19C63E39" w14:textId="77777777" w:rsidR="00E24688" w:rsidRDefault="00641944" w:rsidP="00E24688">
      <w:pPr>
        <w:pStyle w:val="ListParagraph"/>
        <w:jc w:val="both"/>
        <w:rPr>
          <w:rFonts w:ascii="Arial" w:hAnsi="Arial" w:cs="Arial"/>
        </w:rPr>
      </w:pPr>
      <w:r>
        <w:rPr>
          <w:rFonts w:ascii="Arial" w:hAnsi="Arial" w:cs="Arial"/>
        </w:rPr>
        <w:t>Red Laser (660/15 filter)</w:t>
      </w:r>
    </w:p>
    <w:p w14:paraId="0DC73F28" w14:textId="07C5D553" w:rsidR="00641944" w:rsidRPr="00E24688" w:rsidRDefault="00122732" w:rsidP="00122732">
      <w:pPr>
        <w:pStyle w:val="ListParagraph"/>
        <w:ind w:left="0"/>
        <w:jc w:val="both"/>
        <w:rPr>
          <w:rFonts w:ascii="Arial" w:hAnsi="Arial" w:cs="Arial"/>
        </w:rPr>
      </w:pPr>
      <w:r>
        <w:rPr>
          <w:rFonts w:ascii="Arial" w:hAnsi="Arial" w:cs="Arial"/>
        </w:rPr>
        <w:t xml:space="preserve">      </w:t>
      </w:r>
      <w:r w:rsidR="00E24688" w:rsidRPr="00E24688">
        <w:rPr>
          <w:rFonts w:ascii="Arial" w:hAnsi="Arial" w:cs="Arial"/>
        </w:rPr>
        <w:t>T</w:t>
      </w:r>
      <w:r w:rsidR="00641944" w:rsidRPr="00E24688">
        <w:rPr>
          <w:rFonts w:ascii="Arial" w:hAnsi="Arial" w:cs="Arial"/>
        </w:rPr>
        <w:t>he analyzers are maintained by the Miller Laboratory and are calibrated weekly for accuracy.</w:t>
      </w:r>
    </w:p>
    <w:sectPr w:rsidR="00641944" w:rsidRPr="00E24688" w:rsidSect="002C7A0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FBF4CCB"/>
    <w:multiLevelType w:val="hybridMultilevel"/>
    <w:tmpl w:val="3288DC2E"/>
    <w:lvl w:ilvl="0" w:tplc="04090011">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7984186D"/>
    <w:multiLevelType w:val="hybridMultilevel"/>
    <w:tmpl w:val="9822E89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308440513">
    <w:abstractNumId w:val="0"/>
  </w:num>
  <w:num w:numId="2" w16cid:durableId="4169438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D69"/>
    <w:rsid w:val="00082DEE"/>
    <w:rsid w:val="000C2963"/>
    <w:rsid w:val="000D493F"/>
    <w:rsid w:val="00122732"/>
    <w:rsid w:val="002C7A02"/>
    <w:rsid w:val="004B5D69"/>
    <w:rsid w:val="004D02D4"/>
    <w:rsid w:val="00641944"/>
    <w:rsid w:val="00714AAC"/>
    <w:rsid w:val="008F3180"/>
    <w:rsid w:val="00A609FE"/>
    <w:rsid w:val="00A77E96"/>
    <w:rsid w:val="00AC4972"/>
    <w:rsid w:val="00B02532"/>
    <w:rsid w:val="00DC6C19"/>
    <w:rsid w:val="00DF7F60"/>
    <w:rsid w:val="00E24688"/>
    <w:rsid w:val="00E52146"/>
    <w:rsid w:val="00E52B79"/>
    <w:rsid w:val="00EF3CAE"/>
    <w:rsid w:val="00EF783C"/>
    <w:rsid w:val="00F32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2D28D"/>
  <w15:chartTrackingRefBased/>
  <w15:docId w15:val="{6E1284AB-3EDD-46EE-BC94-EAED39F23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5D6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B5D6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B5D6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B5D6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B5D6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B5D6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B5D6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B5D6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B5D6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5D6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B5D6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B5D6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B5D6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B5D6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B5D6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B5D6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B5D6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B5D69"/>
    <w:rPr>
      <w:rFonts w:eastAsiaTheme="majorEastAsia" w:cstheme="majorBidi"/>
      <w:color w:val="272727" w:themeColor="text1" w:themeTint="D8"/>
    </w:rPr>
  </w:style>
  <w:style w:type="paragraph" w:styleId="Title">
    <w:name w:val="Title"/>
    <w:basedOn w:val="Normal"/>
    <w:next w:val="Normal"/>
    <w:link w:val="TitleChar"/>
    <w:uiPriority w:val="10"/>
    <w:qFormat/>
    <w:rsid w:val="004B5D6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B5D6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B5D6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B5D6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B5D69"/>
    <w:pPr>
      <w:spacing w:before="160"/>
      <w:jc w:val="center"/>
    </w:pPr>
    <w:rPr>
      <w:i/>
      <w:iCs/>
      <w:color w:val="404040" w:themeColor="text1" w:themeTint="BF"/>
    </w:rPr>
  </w:style>
  <w:style w:type="character" w:customStyle="1" w:styleId="QuoteChar">
    <w:name w:val="Quote Char"/>
    <w:basedOn w:val="DefaultParagraphFont"/>
    <w:link w:val="Quote"/>
    <w:uiPriority w:val="29"/>
    <w:rsid w:val="004B5D69"/>
    <w:rPr>
      <w:i/>
      <w:iCs/>
      <w:color w:val="404040" w:themeColor="text1" w:themeTint="BF"/>
    </w:rPr>
  </w:style>
  <w:style w:type="paragraph" w:styleId="ListParagraph">
    <w:name w:val="List Paragraph"/>
    <w:basedOn w:val="Normal"/>
    <w:uiPriority w:val="34"/>
    <w:qFormat/>
    <w:rsid w:val="004B5D69"/>
    <w:pPr>
      <w:ind w:left="720"/>
      <w:contextualSpacing/>
    </w:pPr>
  </w:style>
  <w:style w:type="character" w:styleId="IntenseEmphasis">
    <w:name w:val="Intense Emphasis"/>
    <w:basedOn w:val="DefaultParagraphFont"/>
    <w:uiPriority w:val="21"/>
    <w:qFormat/>
    <w:rsid w:val="004B5D69"/>
    <w:rPr>
      <w:i/>
      <w:iCs/>
      <w:color w:val="0F4761" w:themeColor="accent1" w:themeShade="BF"/>
    </w:rPr>
  </w:style>
  <w:style w:type="paragraph" w:styleId="IntenseQuote">
    <w:name w:val="Intense Quote"/>
    <w:basedOn w:val="Normal"/>
    <w:next w:val="Normal"/>
    <w:link w:val="IntenseQuoteChar"/>
    <w:uiPriority w:val="30"/>
    <w:qFormat/>
    <w:rsid w:val="004B5D6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B5D69"/>
    <w:rPr>
      <w:i/>
      <w:iCs/>
      <w:color w:val="0F4761" w:themeColor="accent1" w:themeShade="BF"/>
    </w:rPr>
  </w:style>
  <w:style w:type="character" w:styleId="IntenseReference">
    <w:name w:val="Intense Reference"/>
    <w:basedOn w:val="DefaultParagraphFont"/>
    <w:uiPriority w:val="32"/>
    <w:qFormat/>
    <w:rsid w:val="004B5D6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394</Words>
  <Characters>2108</Characters>
  <Application>Microsoft Office Word</Application>
  <DocSecurity>0</DocSecurity>
  <Lines>27</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Miller, William (millerwe)</dc:creator>
  <cp:keywords/>
  <dc:description/>
  <cp:lastModifiedBy>Mullenix, Diana (mullendc)</cp:lastModifiedBy>
  <cp:revision>14</cp:revision>
  <dcterms:created xsi:type="dcterms:W3CDTF">2024-05-01T17:59:00Z</dcterms:created>
  <dcterms:modified xsi:type="dcterms:W3CDTF">2024-05-15T16:06:00Z</dcterms:modified>
</cp:coreProperties>
</file>