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74115" w14:textId="77777777" w:rsidR="00A07345" w:rsidRPr="00A07345" w:rsidRDefault="00A07345" w:rsidP="00A07345">
      <w:pPr>
        <w:autoSpaceDE w:val="0"/>
        <w:autoSpaceDN w:val="0"/>
        <w:adjustRightInd w:val="0"/>
        <w:rPr>
          <w:rFonts w:ascii="Arial" w:hAnsi="Arial" w:cs="Arial"/>
          <w:b/>
          <w:bCs/>
          <w:sz w:val="22"/>
          <w:szCs w:val="22"/>
        </w:rPr>
      </w:pPr>
      <w:r w:rsidRPr="00A07345">
        <w:rPr>
          <w:rFonts w:ascii="Arial" w:hAnsi="Arial" w:cs="Arial"/>
          <w:b/>
          <w:bCs/>
          <w:sz w:val="22"/>
          <w:szCs w:val="22"/>
        </w:rPr>
        <w:t>Clinical Studies Participant Recruitment Service</w:t>
      </w:r>
    </w:p>
    <w:p w14:paraId="7919E6B5" w14:textId="4F15D404" w:rsidR="00A07345" w:rsidRPr="00A07345" w:rsidRDefault="00A07345" w:rsidP="00A07345">
      <w:pPr>
        <w:autoSpaceDE w:val="0"/>
        <w:autoSpaceDN w:val="0"/>
        <w:adjustRightInd w:val="0"/>
        <w:rPr>
          <w:rFonts w:ascii="Arial" w:hAnsi="Arial" w:cs="Arial"/>
          <w:sz w:val="22"/>
          <w:szCs w:val="22"/>
        </w:rPr>
      </w:pPr>
      <w:r w:rsidRPr="00A07345">
        <w:rPr>
          <w:rFonts w:ascii="Arial" w:hAnsi="Arial" w:cs="Arial"/>
          <w:sz w:val="22"/>
          <w:szCs w:val="22"/>
        </w:rPr>
        <w:t>The Clinical Studies Participant Recruitment Service Center is housed within and managed by the University of Cincinnati Department of Emergency Medicine. It is staffed by clinical research coordinators in our emergency room and hospital to support research conducted across the academic health center. The center provides a centralized, coordinated approach to screening and recruitment of patients for research participation, collecting and processing of specimen samples and collection of study data</w:t>
      </w:r>
      <w:r w:rsidR="00845C0D" w:rsidRPr="00A07345">
        <w:rPr>
          <w:rFonts w:ascii="Arial" w:hAnsi="Arial" w:cs="Arial"/>
          <w:sz w:val="22"/>
          <w:szCs w:val="22"/>
        </w:rPr>
        <w:t xml:space="preserve">. </w:t>
      </w:r>
      <w:r w:rsidRPr="00A07345">
        <w:rPr>
          <w:rFonts w:ascii="Arial" w:hAnsi="Arial" w:cs="Arial"/>
          <w:sz w:val="22"/>
          <w:szCs w:val="22"/>
        </w:rPr>
        <w:t>The research coordinators are fully integrated into the emergency department where they work in tandem with the clinical team to screen every patient that comes through the emergency room doors for possible inclusion in a research study. The staff is available 24hrs/day, 7days/week. Clinical Research Manager – Emily Werff.</w:t>
      </w:r>
    </w:p>
    <w:p w14:paraId="2330B063" w14:textId="77777777" w:rsidR="00A07345" w:rsidRPr="00A07345" w:rsidRDefault="00A07345" w:rsidP="00A07345">
      <w:pPr>
        <w:autoSpaceDE w:val="0"/>
        <w:autoSpaceDN w:val="0"/>
        <w:adjustRightInd w:val="0"/>
        <w:rPr>
          <w:rFonts w:ascii="Arial" w:hAnsi="Arial" w:cs="Arial"/>
          <w:color w:val="000000"/>
          <w:sz w:val="22"/>
          <w:szCs w:val="22"/>
        </w:rPr>
      </w:pPr>
    </w:p>
    <w:p w14:paraId="3CE9B183" w14:textId="6078C3B9" w:rsidR="00A07345" w:rsidRPr="00A07345" w:rsidRDefault="00A07345" w:rsidP="00A07345">
      <w:pPr>
        <w:autoSpaceDE w:val="0"/>
        <w:autoSpaceDN w:val="0"/>
        <w:adjustRightInd w:val="0"/>
        <w:rPr>
          <w:rFonts w:ascii="Arial" w:hAnsi="Arial" w:cs="Arial"/>
          <w:color w:val="000000"/>
          <w:sz w:val="22"/>
          <w:szCs w:val="22"/>
        </w:rPr>
      </w:pPr>
      <w:r w:rsidRPr="00A07345">
        <w:rPr>
          <w:rFonts w:ascii="Arial" w:hAnsi="Arial" w:cs="Arial"/>
          <w:b/>
          <w:bCs/>
          <w:color w:val="000000"/>
          <w:sz w:val="22"/>
          <w:szCs w:val="22"/>
        </w:rPr>
        <w:t>Fees</w:t>
      </w:r>
      <w:r w:rsidRPr="00A07345">
        <w:rPr>
          <w:rFonts w:ascii="Arial" w:hAnsi="Arial" w:cs="Arial"/>
          <w:color w:val="000000"/>
          <w:sz w:val="22"/>
          <w:szCs w:val="22"/>
          <w:u w:val="single"/>
        </w:rPr>
        <w:br/>
      </w:r>
      <w:r w:rsidRPr="00A07345">
        <w:rPr>
          <w:rFonts w:ascii="Arial" w:hAnsi="Arial" w:cs="Arial"/>
          <w:color w:val="000000"/>
          <w:sz w:val="22"/>
          <w:szCs w:val="22"/>
        </w:rPr>
        <w:t>C</w:t>
      </w:r>
      <w:r w:rsidRPr="00A07345">
        <w:rPr>
          <w:rFonts w:ascii="Arial" w:hAnsi="Arial" w:cs="Arial"/>
          <w:sz w:val="22"/>
          <w:szCs w:val="22"/>
        </w:rPr>
        <w:t xml:space="preserve">linical Studies Participant Recruitment Service Center fees </w:t>
      </w:r>
      <w:r w:rsidRPr="00A07345">
        <w:rPr>
          <w:rFonts w:ascii="Arial" w:hAnsi="Arial" w:cs="Arial"/>
          <w:color w:val="000000"/>
          <w:sz w:val="22"/>
          <w:szCs w:val="22"/>
        </w:rPr>
        <w:t xml:space="preserve">are based on the hours of recruitment or availability required (24/7, nights &amp; weekends, </w:t>
      </w:r>
      <w:r w:rsidR="00D6216A" w:rsidRPr="00A07345">
        <w:rPr>
          <w:rFonts w:ascii="Arial" w:hAnsi="Arial" w:cs="Arial"/>
          <w:color w:val="000000"/>
          <w:sz w:val="22"/>
          <w:szCs w:val="22"/>
        </w:rPr>
        <w:t>weekends,</w:t>
      </w:r>
      <w:r w:rsidRPr="00A07345">
        <w:rPr>
          <w:rFonts w:ascii="Arial" w:hAnsi="Arial" w:cs="Arial"/>
          <w:color w:val="000000"/>
          <w:sz w:val="22"/>
          <w:szCs w:val="22"/>
        </w:rPr>
        <w:t xml:space="preserve"> or day hours only or a combination). Study related activities such as enrollment, consent, study related assessments, data abstraction and sample processing will be charged for time and labor at an hourly rate. The C</w:t>
      </w:r>
      <w:r w:rsidRPr="00A07345">
        <w:rPr>
          <w:rFonts w:ascii="Arial" w:hAnsi="Arial" w:cs="Arial"/>
          <w:sz w:val="22"/>
          <w:szCs w:val="22"/>
        </w:rPr>
        <w:t xml:space="preserve">linical Studies Participant Recruitment Service Center </w:t>
      </w:r>
      <w:r w:rsidRPr="00A07345">
        <w:rPr>
          <w:rFonts w:ascii="Arial" w:hAnsi="Arial" w:cs="Arial"/>
          <w:color w:val="000000"/>
          <w:sz w:val="22"/>
          <w:szCs w:val="22"/>
        </w:rPr>
        <w:t xml:space="preserve">reviews each study protocol and develops a fee estimate for each study based on the study requirements. Quoted fees and prices are provided as estimates until the study begins. Charges may be adjusted if circumstances arise that were not identifiable during </w:t>
      </w:r>
      <w:r w:rsidR="000A35FF" w:rsidRPr="00A07345">
        <w:rPr>
          <w:rFonts w:ascii="Arial" w:hAnsi="Arial" w:cs="Arial"/>
          <w:color w:val="000000"/>
          <w:sz w:val="22"/>
          <w:szCs w:val="22"/>
        </w:rPr>
        <w:t>the initial</w:t>
      </w:r>
      <w:r w:rsidRPr="00A07345">
        <w:rPr>
          <w:rFonts w:ascii="Arial" w:hAnsi="Arial" w:cs="Arial"/>
          <w:color w:val="000000"/>
          <w:sz w:val="22"/>
          <w:szCs w:val="22"/>
        </w:rPr>
        <w:t xml:space="preserve"> quote. It is recommended to budget for adjustments on any hourly quoted fee to accommodate for any additional fees that are discovered after </w:t>
      </w:r>
      <w:r w:rsidR="000A35FF" w:rsidRPr="00A07345">
        <w:rPr>
          <w:rFonts w:ascii="Arial" w:hAnsi="Arial" w:cs="Arial"/>
          <w:color w:val="000000"/>
          <w:sz w:val="22"/>
          <w:szCs w:val="22"/>
        </w:rPr>
        <w:t>the start</w:t>
      </w:r>
      <w:r w:rsidRPr="00A07345">
        <w:rPr>
          <w:rFonts w:ascii="Arial" w:hAnsi="Arial" w:cs="Arial"/>
          <w:color w:val="000000"/>
          <w:sz w:val="22"/>
          <w:szCs w:val="22"/>
        </w:rPr>
        <w:t xml:space="preserve"> of the study.</w:t>
      </w:r>
    </w:p>
    <w:p w14:paraId="67E0CA88" w14:textId="77777777" w:rsidR="00A07345" w:rsidRDefault="00A07345" w:rsidP="00A07345">
      <w:pPr>
        <w:pStyle w:val="ListParagraph"/>
        <w:numPr>
          <w:ilvl w:val="0"/>
          <w:numId w:val="2"/>
        </w:numPr>
        <w:autoSpaceDE w:val="0"/>
        <w:autoSpaceDN w:val="0"/>
        <w:adjustRightInd w:val="0"/>
        <w:rPr>
          <w:rFonts w:ascii="Arial" w:hAnsi="Arial" w:cs="Arial"/>
          <w:color w:val="000000"/>
        </w:rPr>
      </w:pPr>
      <w:r w:rsidRPr="00A07345">
        <w:rPr>
          <w:rFonts w:ascii="Arial" w:hAnsi="Arial" w:cs="Arial"/>
          <w:color w:val="000000"/>
          <w:u w:val="single"/>
        </w:rPr>
        <w:t>General Screening Fee</w:t>
      </w:r>
      <w:r w:rsidRPr="00A07345">
        <w:rPr>
          <w:rFonts w:ascii="Arial" w:hAnsi="Arial" w:cs="Arial"/>
          <w:color w:val="000000"/>
        </w:rPr>
        <w:t xml:space="preserve">: Charged Monthly </w:t>
      </w:r>
    </w:p>
    <w:p w14:paraId="2E71B469" w14:textId="64A7E609" w:rsidR="00A07345" w:rsidRDefault="00A07345" w:rsidP="00A07345">
      <w:pPr>
        <w:pStyle w:val="ListParagraph"/>
        <w:autoSpaceDE w:val="0"/>
        <w:autoSpaceDN w:val="0"/>
        <w:adjustRightInd w:val="0"/>
        <w:ind w:left="420"/>
        <w:rPr>
          <w:rFonts w:ascii="Arial" w:hAnsi="Arial" w:cs="Arial"/>
          <w:color w:val="000000"/>
        </w:rPr>
      </w:pPr>
      <w:r w:rsidRPr="00A07345">
        <w:rPr>
          <w:rFonts w:ascii="Arial" w:hAnsi="Arial" w:cs="Arial"/>
          <w:color w:val="000000"/>
        </w:rPr>
        <w:t>The general screening fee includes screening of every patient in the emergency department being screened to consider them for the designated research study</w:t>
      </w:r>
      <w:r w:rsidR="00D6216A" w:rsidRPr="00A07345">
        <w:rPr>
          <w:rFonts w:ascii="Arial" w:hAnsi="Arial" w:cs="Arial"/>
          <w:color w:val="000000"/>
        </w:rPr>
        <w:t xml:space="preserve">. </w:t>
      </w:r>
      <w:r w:rsidRPr="00A07345">
        <w:rPr>
          <w:rFonts w:ascii="Arial" w:hAnsi="Arial" w:cs="Arial"/>
          <w:color w:val="000000"/>
        </w:rPr>
        <w:t xml:space="preserve">Fees cover things such as service center personnel’s time spent on reviewing medical records for inclusion/exclusion criteria. Receipt, storage or study materials needed to enroll subjects into the studies (including but not limited to research enrollment binders and study devices). Inventory control of study equipment (tracking of amount of products available). Tracking of patients screened </w:t>
      </w:r>
      <w:r w:rsidR="007E2DC0" w:rsidRPr="00A07345">
        <w:rPr>
          <w:rFonts w:ascii="Arial" w:hAnsi="Arial" w:cs="Arial"/>
          <w:color w:val="000000"/>
        </w:rPr>
        <w:t>and</w:t>
      </w:r>
      <w:r w:rsidRPr="00A07345">
        <w:rPr>
          <w:rFonts w:ascii="Arial" w:hAnsi="Arial" w:cs="Arial"/>
          <w:color w:val="000000"/>
        </w:rPr>
        <w:t xml:space="preserve"> enrolled in our RedCap Screening Database. Reports of screened/enrolled patients provided to the study team. Temperature monitoring as required for study devices/equipment</w:t>
      </w:r>
    </w:p>
    <w:p w14:paraId="0C151A5C" w14:textId="77777777" w:rsidR="00A07345" w:rsidRDefault="00A07345" w:rsidP="00A07345">
      <w:pPr>
        <w:pStyle w:val="ListParagraph"/>
        <w:numPr>
          <w:ilvl w:val="0"/>
          <w:numId w:val="2"/>
        </w:numPr>
        <w:autoSpaceDE w:val="0"/>
        <w:autoSpaceDN w:val="0"/>
        <w:adjustRightInd w:val="0"/>
        <w:rPr>
          <w:rFonts w:ascii="Arial" w:hAnsi="Arial" w:cs="Arial"/>
          <w:color w:val="000000"/>
        </w:rPr>
      </w:pPr>
      <w:r w:rsidRPr="00A07345">
        <w:rPr>
          <w:rFonts w:ascii="Arial" w:hAnsi="Arial" w:cs="Arial"/>
          <w:color w:val="000000"/>
          <w:u w:val="single"/>
        </w:rPr>
        <w:t>Clinical Services Hourly Rate</w:t>
      </w:r>
      <w:r w:rsidRPr="00A07345">
        <w:rPr>
          <w:rFonts w:ascii="Arial" w:hAnsi="Arial" w:cs="Arial"/>
          <w:color w:val="000000"/>
        </w:rPr>
        <w:t>: Charged per activity</w:t>
      </w:r>
      <w:r>
        <w:rPr>
          <w:rFonts w:ascii="Arial" w:hAnsi="Arial" w:cs="Arial"/>
          <w:color w:val="000000"/>
        </w:rPr>
        <w:t xml:space="preserve"> and </w:t>
      </w:r>
      <w:r w:rsidRPr="00A07345">
        <w:rPr>
          <w:rFonts w:ascii="Arial" w:hAnsi="Arial" w:cs="Arial"/>
          <w:color w:val="000000"/>
        </w:rPr>
        <w:t>per patient/</w:t>
      </w:r>
      <w:r>
        <w:rPr>
          <w:rFonts w:ascii="Arial" w:hAnsi="Arial" w:cs="Arial"/>
          <w:color w:val="000000"/>
        </w:rPr>
        <w:t>o</w:t>
      </w:r>
      <w:r w:rsidRPr="00A07345">
        <w:rPr>
          <w:rFonts w:ascii="Arial" w:hAnsi="Arial" w:cs="Arial"/>
          <w:color w:val="000000"/>
        </w:rPr>
        <w:t>ccurrence</w:t>
      </w:r>
    </w:p>
    <w:p w14:paraId="4301734F" w14:textId="3A7AE24C" w:rsidR="00A07345" w:rsidRDefault="00A07345" w:rsidP="00A07345">
      <w:pPr>
        <w:pStyle w:val="ListParagraph"/>
        <w:autoSpaceDE w:val="0"/>
        <w:autoSpaceDN w:val="0"/>
        <w:adjustRightInd w:val="0"/>
        <w:ind w:left="420"/>
        <w:rPr>
          <w:rFonts w:ascii="Arial" w:hAnsi="Arial" w:cs="Arial"/>
          <w:color w:val="000000"/>
        </w:rPr>
      </w:pPr>
      <w:r w:rsidRPr="00A07345">
        <w:rPr>
          <w:rFonts w:ascii="Arial" w:hAnsi="Arial" w:cs="Arial"/>
          <w:color w:val="000000"/>
        </w:rPr>
        <w:t xml:space="preserve">Hourly rates are charged for activities outside of general screening that are needed for </w:t>
      </w:r>
      <w:r w:rsidR="00A72110" w:rsidRPr="00A07345">
        <w:rPr>
          <w:rFonts w:ascii="Arial" w:hAnsi="Arial" w:cs="Arial"/>
          <w:color w:val="000000"/>
        </w:rPr>
        <w:t>individual</w:t>
      </w:r>
      <w:r w:rsidRPr="00A07345">
        <w:rPr>
          <w:rFonts w:ascii="Arial" w:hAnsi="Arial" w:cs="Arial"/>
          <w:color w:val="000000"/>
        </w:rPr>
        <w:t xml:space="preserve"> studies</w:t>
      </w:r>
      <w:r w:rsidR="00845C0D" w:rsidRPr="00A07345">
        <w:rPr>
          <w:rFonts w:ascii="Arial" w:hAnsi="Arial" w:cs="Arial"/>
          <w:color w:val="000000"/>
        </w:rPr>
        <w:t xml:space="preserve">. </w:t>
      </w:r>
      <w:r w:rsidRPr="00A07345">
        <w:rPr>
          <w:rFonts w:ascii="Arial" w:hAnsi="Arial" w:cs="Arial"/>
          <w:color w:val="000000"/>
        </w:rPr>
        <w:t xml:space="preserve">These rates are often incorporated into the schedule of events sections of the budget. These activities are including but not limited the following: Service Center staff training (protocol, investigator’s brochures, and any other manuals required for the enrollment of subjects, assessment of subjects &amp; processing of samples, and their updates). Consent and Enrollment of subjects, study specific procedures or assessments, data abstraction or data entry, medical record review (beyond screening), sample collection and processing and follow up visits (phone or in person). These fees are calculated by estimating the amount of time it takes to complete the needed study tasks and then applying the hourly rate. </w:t>
      </w:r>
    </w:p>
    <w:p w14:paraId="14733D87" w14:textId="0F802B15" w:rsidR="00A07345" w:rsidRPr="00A07345" w:rsidRDefault="00A07345" w:rsidP="00A07345">
      <w:pPr>
        <w:pStyle w:val="ListParagraph"/>
        <w:autoSpaceDE w:val="0"/>
        <w:autoSpaceDN w:val="0"/>
        <w:adjustRightInd w:val="0"/>
        <w:ind w:left="0"/>
        <w:rPr>
          <w:rFonts w:ascii="Arial" w:hAnsi="Arial" w:cs="Arial"/>
          <w:color w:val="000000"/>
        </w:rPr>
      </w:pPr>
      <w:r w:rsidRPr="00A07345">
        <w:rPr>
          <w:rFonts w:ascii="Arial" w:hAnsi="Arial" w:cs="Arial"/>
          <w:color w:val="000000"/>
        </w:rPr>
        <w:t xml:space="preserve">Fees are reviewed annually by the University of Cincinnati Government Cost Compliance and are subject to change. </w:t>
      </w:r>
    </w:p>
    <w:sectPr w:rsidR="00A07345" w:rsidRPr="00A07345" w:rsidSect="00A07345">
      <w:footerReference w:type="default" r:id="rId7"/>
      <w:pgSz w:w="12240" w:h="15840" w:code="1"/>
      <w:pgMar w:top="720" w:right="720" w:bottom="720" w:left="720" w:header="720" w:footer="576"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BDA06" w14:textId="77777777" w:rsidR="00E314A5" w:rsidRDefault="00E314A5" w:rsidP="00A07345">
      <w:r>
        <w:separator/>
      </w:r>
    </w:p>
  </w:endnote>
  <w:endnote w:type="continuationSeparator" w:id="0">
    <w:p w14:paraId="732B5738" w14:textId="77777777" w:rsidR="00E314A5" w:rsidRDefault="00E314A5" w:rsidP="00A0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BoldItalic">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2B522" w14:textId="77777777" w:rsidR="00A07345" w:rsidRDefault="00A07345">
    <w:pPr>
      <w:pStyle w:val="Footer"/>
      <w:jc w:val="center"/>
      <w:rPr>
        <w:rFonts w:ascii="Myriad-BoldItalic" w:hAnsi="Myriad-BoldItal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CA91C" w14:textId="77777777" w:rsidR="00E314A5" w:rsidRDefault="00E314A5" w:rsidP="00A07345">
      <w:r>
        <w:separator/>
      </w:r>
    </w:p>
  </w:footnote>
  <w:footnote w:type="continuationSeparator" w:id="0">
    <w:p w14:paraId="7F1070DA" w14:textId="77777777" w:rsidR="00E314A5" w:rsidRDefault="00E314A5" w:rsidP="00A07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92CEF"/>
    <w:multiLevelType w:val="hybridMultilevel"/>
    <w:tmpl w:val="E39A49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24424A"/>
    <w:multiLevelType w:val="hybridMultilevel"/>
    <w:tmpl w:val="385C7670"/>
    <w:lvl w:ilvl="0" w:tplc="214012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311717265">
    <w:abstractNumId w:val="0"/>
  </w:num>
  <w:num w:numId="2" w16cid:durableId="132693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45"/>
    <w:rsid w:val="000A35FF"/>
    <w:rsid w:val="004F6E6B"/>
    <w:rsid w:val="007E2DC0"/>
    <w:rsid w:val="00845C0D"/>
    <w:rsid w:val="00905DBC"/>
    <w:rsid w:val="00A07345"/>
    <w:rsid w:val="00A72110"/>
    <w:rsid w:val="00D6216A"/>
    <w:rsid w:val="00DC6C19"/>
    <w:rsid w:val="00E314A5"/>
    <w:rsid w:val="00F3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9BE0"/>
  <w15:chartTrackingRefBased/>
  <w15:docId w15:val="{D168DD08-4BAA-4430-873D-3200BC5C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45"/>
    <w:pPr>
      <w:spacing w:after="0" w:line="240" w:lineRule="auto"/>
    </w:pPr>
    <w:rPr>
      <w:rFonts w:ascii="Times" w:eastAsia="Times" w:hAnsi="Times" w:cs="Times New Roman"/>
      <w:kern w:val="0"/>
      <w:sz w:val="24"/>
      <w:szCs w:val="20"/>
      <w14:ligatures w14:val="none"/>
    </w:rPr>
  </w:style>
  <w:style w:type="paragraph" w:styleId="Heading1">
    <w:name w:val="heading 1"/>
    <w:basedOn w:val="Normal"/>
    <w:next w:val="Normal"/>
    <w:link w:val="Heading1Char"/>
    <w:uiPriority w:val="9"/>
    <w:qFormat/>
    <w:rsid w:val="00A0734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0734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0734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0734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A0734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A0734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A0734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A0734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A0734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3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73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73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73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73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73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73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73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7345"/>
    <w:rPr>
      <w:rFonts w:eastAsiaTheme="majorEastAsia" w:cstheme="majorBidi"/>
      <w:color w:val="272727" w:themeColor="text1" w:themeTint="D8"/>
    </w:rPr>
  </w:style>
  <w:style w:type="paragraph" w:styleId="Title">
    <w:name w:val="Title"/>
    <w:basedOn w:val="Normal"/>
    <w:next w:val="Normal"/>
    <w:link w:val="TitleChar"/>
    <w:uiPriority w:val="10"/>
    <w:qFormat/>
    <w:rsid w:val="00A0734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073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734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073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7345"/>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A07345"/>
    <w:rPr>
      <w:i/>
      <w:iCs/>
      <w:color w:val="404040" w:themeColor="text1" w:themeTint="BF"/>
    </w:rPr>
  </w:style>
  <w:style w:type="paragraph" w:styleId="ListParagraph">
    <w:name w:val="List Paragraph"/>
    <w:basedOn w:val="Normal"/>
    <w:uiPriority w:val="34"/>
    <w:qFormat/>
    <w:rsid w:val="00A07345"/>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A07345"/>
    <w:rPr>
      <w:i/>
      <w:iCs/>
      <w:color w:val="0F4761" w:themeColor="accent1" w:themeShade="BF"/>
    </w:rPr>
  </w:style>
  <w:style w:type="paragraph" w:styleId="IntenseQuote">
    <w:name w:val="Intense Quote"/>
    <w:basedOn w:val="Normal"/>
    <w:next w:val="Normal"/>
    <w:link w:val="IntenseQuoteChar"/>
    <w:uiPriority w:val="30"/>
    <w:qFormat/>
    <w:rsid w:val="00A0734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A07345"/>
    <w:rPr>
      <w:i/>
      <w:iCs/>
      <w:color w:val="0F4761" w:themeColor="accent1" w:themeShade="BF"/>
    </w:rPr>
  </w:style>
  <w:style w:type="character" w:styleId="IntenseReference">
    <w:name w:val="Intense Reference"/>
    <w:basedOn w:val="DefaultParagraphFont"/>
    <w:uiPriority w:val="32"/>
    <w:qFormat/>
    <w:rsid w:val="00A07345"/>
    <w:rPr>
      <w:b/>
      <w:bCs/>
      <w:smallCaps/>
      <w:color w:val="0F4761" w:themeColor="accent1" w:themeShade="BF"/>
      <w:spacing w:val="5"/>
    </w:rPr>
  </w:style>
  <w:style w:type="paragraph" w:styleId="Header">
    <w:name w:val="header"/>
    <w:basedOn w:val="Normal"/>
    <w:link w:val="HeaderChar"/>
    <w:rsid w:val="00A07345"/>
    <w:pPr>
      <w:tabs>
        <w:tab w:val="center" w:pos="4320"/>
        <w:tab w:val="right" w:pos="8640"/>
      </w:tabs>
    </w:pPr>
  </w:style>
  <w:style w:type="character" w:customStyle="1" w:styleId="HeaderChar">
    <w:name w:val="Header Char"/>
    <w:basedOn w:val="DefaultParagraphFont"/>
    <w:link w:val="Header"/>
    <w:rsid w:val="00A07345"/>
    <w:rPr>
      <w:rFonts w:ascii="Times" w:eastAsia="Times" w:hAnsi="Times" w:cs="Times New Roman"/>
      <w:kern w:val="0"/>
      <w:sz w:val="24"/>
      <w:szCs w:val="20"/>
      <w14:ligatures w14:val="none"/>
    </w:rPr>
  </w:style>
  <w:style w:type="paragraph" w:styleId="Footer">
    <w:name w:val="footer"/>
    <w:basedOn w:val="Normal"/>
    <w:link w:val="FooterChar"/>
    <w:rsid w:val="00A07345"/>
    <w:pPr>
      <w:tabs>
        <w:tab w:val="center" w:pos="4320"/>
        <w:tab w:val="right" w:pos="8640"/>
      </w:tabs>
    </w:pPr>
  </w:style>
  <w:style w:type="character" w:customStyle="1" w:styleId="FooterChar">
    <w:name w:val="Footer Char"/>
    <w:basedOn w:val="DefaultParagraphFont"/>
    <w:link w:val="Footer"/>
    <w:rsid w:val="00A07345"/>
    <w:rPr>
      <w:rFonts w:ascii="Times" w:eastAsia="Times" w:hAnsi="Times" w:cs="Times New Roman"/>
      <w:kern w:val="0"/>
      <w:sz w:val="24"/>
      <w:szCs w:val="20"/>
      <w14:ligatures w14:val="none"/>
    </w:rPr>
  </w:style>
  <w:style w:type="character" w:styleId="Hyperlink">
    <w:name w:val="Hyperlink"/>
    <w:basedOn w:val="DefaultParagraphFont"/>
    <w:uiPriority w:val="99"/>
    <w:semiHidden/>
    <w:unhideWhenUsed/>
    <w:rsid w:val="00A073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514</Words>
  <Characters>3020</Characters>
  <Application>Microsoft Office Word</Application>
  <DocSecurity>0</DocSecurity>
  <Lines>40</Lines>
  <Paragraphs>9</Paragraphs>
  <ScaleCrop>false</ScaleCrop>
  <Company>University of Cincinnati</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Diana (mullendc)</dc:creator>
  <cp:keywords/>
  <dc:description/>
  <cp:lastModifiedBy>Mullenix, Diana (mullendc)</cp:lastModifiedBy>
  <cp:revision>7</cp:revision>
  <dcterms:created xsi:type="dcterms:W3CDTF">2024-05-15T16:50:00Z</dcterms:created>
  <dcterms:modified xsi:type="dcterms:W3CDTF">2024-05-15T17:02:00Z</dcterms:modified>
</cp:coreProperties>
</file>