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343AE" w14:textId="52EC53A6" w:rsidR="00A3112B" w:rsidRDefault="00982FD2" w:rsidP="00A311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Lessons Learned Along the </w:t>
      </w:r>
      <w:r w:rsidR="00A3112B">
        <w:rPr>
          <w:sz w:val="28"/>
          <w:szCs w:val="28"/>
        </w:rPr>
        <w:t>Road to Hazardous Waste Clean-up</w:t>
      </w:r>
    </w:p>
    <w:p w14:paraId="7E2849BE" w14:textId="721C652E" w:rsidR="00A3112B" w:rsidRPr="00AD4B8D" w:rsidRDefault="00A3112B" w:rsidP="00A3112B">
      <w:pPr>
        <w:jc w:val="center"/>
        <w:rPr>
          <w:sz w:val="28"/>
          <w:szCs w:val="28"/>
          <w:vertAlign w:val="superscript"/>
        </w:rPr>
      </w:pPr>
      <w:r w:rsidRPr="00AD4B8D">
        <w:rPr>
          <w:sz w:val="28"/>
          <w:szCs w:val="28"/>
        </w:rPr>
        <w:t>Susan M. Pinney</w:t>
      </w:r>
      <w:r w:rsidRPr="00AD4B8D">
        <w:rPr>
          <w:sz w:val="28"/>
          <w:szCs w:val="28"/>
          <w:vertAlign w:val="superscript"/>
        </w:rPr>
        <w:t>1*</w:t>
      </w:r>
      <w:r w:rsidRPr="00AD4B8D">
        <w:rPr>
          <w:sz w:val="28"/>
          <w:szCs w:val="28"/>
        </w:rPr>
        <w:t xml:space="preserve">, Marilyn </w:t>
      </w:r>
      <w:r w:rsidR="00982FD2" w:rsidRPr="00AD4B8D">
        <w:rPr>
          <w:sz w:val="28"/>
          <w:szCs w:val="28"/>
        </w:rPr>
        <w:t xml:space="preserve">V. </w:t>
      </w:r>
      <w:r w:rsidRPr="00AD4B8D">
        <w:rPr>
          <w:sz w:val="28"/>
          <w:szCs w:val="28"/>
        </w:rPr>
        <w:t>Howarth</w:t>
      </w:r>
      <w:r w:rsidR="00331C62" w:rsidRPr="00AD4B8D">
        <w:rPr>
          <w:sz w:val="28"/>
          <w:szCs w:val="28"/>
          <w:vertAlign w:val="superscript"/>
        </w:rPr>
        <w:t>2</w:t>
      </w:r>
      <w:r w:rsidRPr="00AD4B8D">
        <w:rPr>
          <w:sz w:val="28"/>
          <w:szCs w:val="28"/>
        </w:rPr>
        <w:t>*, Kathleen M. Vandiver</w:t>
      </w:r>
      <w:r w:rsidR="00331C62" w:rsidRPr="00AD4B8D">
        <w:rPr>
          <w:sz w:val="28"/>
          <w:szCs w:val="28"/>
          <w:vertAlign w:val="superscript"/>
        </w:rPr>
        <w:t>3</w:t>
      </w:r>
      <w:r w:rsidRPr="00AD4B8D">
        <w:rPr>
          <w:sz w:val="28"/>
          <w:szCs w:val="28"/>
        </w:rPr>
        <w:t xml:space="preserve">*, </w:t>
      </w:r>
      <w:r w:rsidR="00331C62" w:rsidRPr="00AD4B8D">
        <w:rPr>
          <w:sz w:val="28"/>
          <w:szCs w:val="28"/>
        </w:rPr>
        <w:t>Adrian Wood</w:t>
      </w:r>
      <w:r w:rsidR="00331C62" w:rsidRPr="00AD4B8D">
        <w:rPr>
          <w:sz w:val="28"/>
          <w:szCs w:val="28"/>
          <w:vertAlign w:val="superscript"/>
        </w:rPr>
        <w:t>2</w:t>
      </w:r>
      <w:r w:rsidR="00331C62" w:rsidRPr="00AD4B8D">
        <w:rPr>
          <w:sz w:val="28"/>
          <w:szCs w:val="28"/>
        </w:rPr>
        <w:t xml:space="preserve">, </w:t>
      </w:r>
      <w:r w:rsidR="00D969BB" w:rsidRPr="00AD4B8D">
        <w:rPr>
          <w:sz w:val="28"/>
          <w:szCs w:val="28"/>
        </w:rPr>
        <w:t>Bob Adams</w:t>
      </w:r>
      <w:r w:rsidR="001C4758" w:rsidRPr="00AD4B8D">
        <w:rPr>
          <w:sz w:val="28"/>
          <w:szCs w:val="28"/>
          <w:vertAlign w:val="superscript"/>
        </w:rPr>
        <w:t>2</w:t>
      </w:r>
      <w:r w:rsidR="00D969BB" w:rsidRPr="00AD4B8D">
        <w:rPr>
          <w:sz w:val="28"/>
          <w:szCs w:val="28"/>
        </w:rPr>
        <w:t xml:space="preserve">, </w:t>
      </w:r>
      <w:r w:rsidR="001C4758" w:rsidRPr="00AD4B8D">
        <w:rPr>
          <w:sz w:val="28"/>
          <w:szCs w:val="28"/>
        </w:rPr>
        <w:t>Joyce Bentle</w:t>
      </w:r>
      <w:r w:rsidR="001C4758" w:rsidRPr="00AD4B8D">
        <w:rPr>
          <w:sz w:val="28"/>
          <w:szCs w:val="28"/>
          <w:vertAlign w:val="superscript"/>
        </w:rPr>
        <w:t>1</w:t>
      </w:r>
      <w:r w:rsidR="001C4758" w:rsidRPr="00AD4B8D">
        <w:rPr>
          <w:sz w:val="28"/>
          <w:szCs w:val="28"/>
        </w:rPr>
        <w:t xml:space="preserve">, </w:t>
      </w:r>
      <w:r w:rsidR="00D969BB" w:rsidRPr="00AD4B8D">
        <w:rPr>
          <w:sz w:val="28"/>
          <w:szCs w:val="28"/>
        </w:rPr>
        <w:t>Sharon Cooke-Vargus</w:t>
      </w:r>
      <w:r w:rsidR="001C4758" w:rsidRPr="00AD4B8D">
        <w:rPr>
          <w:sz w:val="28"/>
          <w:szCs w:val="28"/>
          <w:vertAlign w:val="superscript"/>
        </w:rPr>
        <w:t>2</w:t>
      </w:r>
      <w:r w:rsidR="00D969BB" w:rsidRPr="00AD4B8D">
        <w:rPr>
          <w:sz w:val="28"/>
          <w:szCs w:val="28"/>
        </w:rPr>
        <w:t>, Lisa Crawford</w:t>
      </w:r>
      <w:r w:rsidR="00AD4B8D">
        <w:rPr>
          <w:sz w:val="28"/>
          <w:szCs w:val="28"/>
          <w:vertAlign w:val="superscript"/>
        </w:rPr>
        <w:t>1</w:t>
      </w:r>
      <w:r w:rsidR="00D969BB" w:rsidRPr="00AD4B8D">
        <w:rPr>
          <w:sz w:val="28"/>
          <w:szCs w:val="28"/>
        </w:rPr>
        <w:t>, Graham Mitchell</w:t>
      </w:r>
      <w:r w:rsidR="00D969BB" w:rsidRPr="00AD4B8D">
        <w:rPr>
          <w:sz w:val="28"/>
          <w:szCs w:val="28"/>
          <w:vertAlign w:val="superscript"/>
        </w:rPr>
        <w:t>1</w:t>
      </w:r>
      <w:r w:rsidR="00D969BB" w:rsidRPr="00AD4B8D">
        <w:rPr>
          <w:sz w:val="28"/>
          <w:szCs w:val="28"/>
        </w:rPr>
        <w:t xml:space="preserve">, </w:t>
      </w:r>
      <w:r w:rsidR="00331C62" w:rsidRPr="00AD4B8D">
        <w:rPr>
          <w:sz w:val="28"/>
          <w:szCs w:val="28"/>
        </w:rPr>
        <w:t>Martha K. Steve</w:t>
      </w:r>
      <w:r w:rsidR="00982FD2" w:rsidRPr="00AD4B8D">
        <w:rPr>
          <w:sz w:val="28"/>
          <w:szCs w:val="28"/>
        </w:rPr>
        <w:t>n</w:t>
      </w:r>
      <w:r w:rsidR="00331C62" w:rsidRPr="00AD4B8D">
        <w:rPr>
          <w:sz w:val="28"/>
          <w:szCs w:val="28"/>
        </w:rPr>
        <w:t>son</w:t>
      </w:r>
      <w:r w:rsidR="00331C62" w:rsidRPr="00AD4B8D">
        <w:rPr>
          <w:sz w:val="28"/>
          <w:szCs w:val="28"/>
          <w:vertAlign w:val="superscript"/>
        </w:rPr>
        <w:t>3</w:t>
      </w:r>
      <w:r w:rsidR="00331C62" w:rsidRPr="00AD4B8D">
        <w:rPr>
          <w:sz w:val="28"/>
          <w:szCs w:val="28"/>
        </w:rPr>
        <w:t>, Suzanne M. Sullivan</w:t>
      </w:r>
      <w:r w:rsidR="00331C62" w:rsidRPr="00AD4B8D">
        <w:rPr>
          <w:sz w:val="28"/>
          <w:szCs w:val="28"/>
          <w:vertAlign w:val="superscript"/>
        </w:rPr>
        <w:t>3</w:t>
      </w:r>
      <w:r w:rsidR="00331C62" w:rsidRPr="00AD4B8D">
        <w:rPr>
          <w:sz w:val="28"/>
          <w:szCs w:val="28"/>
        </w:rPr>
        <w:t>,</w:t>
      </w:r>
      <w:r w:rsidR="00D969BB" w:rsidRPr="00AD4B8D" w:rsidDel="00D969BB">
        <w:rPr>
          <w:sz w:val="28"/>
          <w:szCs w:val="28"/>
        </w:rPr>
        <w:t xml:space="preserve"> </w:t>
      </w:r>
      <w:r w:rsidR="005F65BF" w:rsidRPr="00AD4B8D">
        <w:rPr>
          <w:sz w:val="28"/>
          <w:szCs w:val="28"/>
        </w:rPr>
        <w:t>Kent Meloy</w:t>
      </w:r>
      <w:r w:rsidR="005F65BF" w:rsidRPr="00AD4B8D">
        <w:rPr>
          <w:sz w:val="28"/>
          <w:szCs w:val="28"/>
          <w:vertAlign w:val="superscript"/>
        </w:rPr>
        <w:t>1</w:t>
      </w:r>
      <w:r w:rsidR="005F65BF" w:rsidRPr="00AD4B8D">
        <w:rPr>
          <w:sz w:val="28"/>
          <w:szCs w:val="28"/>
        </w:rPr>
        <w:t>, Kayla McGill</w:t>
      </w:r>
      <w:r w:rsidR="00331C62" w:rsidRPr="00AD4B8D">
        <w:rPr>
          <w:sz w:val="28"/>
          <w:szCs w:val="28"/>
          <w:vertAlign w:val="superscript"/>
        </w:rPr>
        <w:t>1</w:t>
      </w:r>
    </w:p>
    <w:p w14:paraId="6AA1EE90" w14:textId="2642E3B7" w:rsidR="00A3112B" w:rsidRPr="00827D6B" w:rsidRDefault="005F65BF" w:rsidP="00A3112B">
      <w:r w:rsidRPr="00827D6B">
        <w:rPr>
          <w:vertAlign w:val="superscript"/>
        </w:rPr>
        <w:t>1</w:t>
      </w:r>
      <w:r w:rsidRPr="00827D6B">
        <w:t>Community Engagement Core</w:t>
      </w:r>
      <w:r w:rsidR="00A3112B" w:rsidRPr="00827D6B">
        <w:t>, University of Cincinnati</w:t>
      </w:r>
      <w:r w:rsidRPr="00827D6B">
        <w:t xml:space="preserve"> Center for Environmental Genetics</w:t>
      </w:r>
      <w:r w:rsidR="00A3112B" w:rsidRPr="00827D6B">
        <w:t xml:space="preserve">; </w:t>
      </w:r>
      <w:r w:rsidRPr="00827D6B">
        <w:rPr>
          <w:vertAlign w:val="superscript"/>
        </w:rPr>
        <w:t>2</w:t>
      </w:r>
      <w:r w:rsidRPr="00827D6B">
        <w:t xml:space="preserve">Community Engagement Core, University of Pennsylvania Center </w:t>
      </w:r>
      <w:r w:rsidR="00982FD2">
        <w:t>o</w:t>
      </w:r>
      <w:r w:rsidRPr="00827D6B">
        <w:t xml:space="preserve">f </w:t>
      </w:r>
      <w:r w:rsidR="00331C62" w:rsidRPr="00827D6B">
        <w:t>Excellence in Environmental Toxicology;</w:t>
      </w:r>
      <w:r w:rsidRPr="00827D6B">
        <w:t xml:space="preserve"> </w:t>
      </w:r>
      <w:r w:rsidRPr="00827D6B">
        <w:rPr>
          <w:vertAlign w:val="superscript"/>
        </w:rPr>
        <w:t>3</w:t>
      </w:r>
      <w:r w:rsidR="00A3112B" w:rsidRPr="00827D6B">
        <w:t xml:space="preserve">Community Engagement Core, MIT Superfund Research </w:t>
      </w:r>
      <w:proofErr w:type="gramStart"/>
      <w:r w:rsidR="00A3112B" w:rsidRPr="00827D6B">
        <w:t>Program;</w:t>
      </w:r>
      <w:proofErr w:type="gramEnd"/>
    </w:p>
    <w:p w14:paraId="614A03EB" w14:textId="77777777" w:rsidR="00A3112B" w:rsidRPr="00827D6B" w:rsidRDefault="00A3112B" w:rsidP="00A3112B">
      <w:r w:rsidRPr="00827D6B">
        <w:t>*</w:t>
      </w:r>
      <w:proofErr w:type="gramStart"/>
      <w:r w:rsidRPr="00827D6B">
        <w:t>contributed</w:t>
      </w:r>
      <w:proofErr w:type="gramEnd"/>
      <w:r w:rsidRPr="00827D6B">
        <w:t xml:space="preserve"> equally to the project</w:t>
      </w:r>
    </w:p>
    <w:p w14:paraId="6F854701" w14:textId="2C68C230" w:rsidR="00A3112B" w:rsidRPr="00827D6B" w:rsidRDefault="00982FD2" w:rsidP="00A3112B">
      <w:bookmarkStart w:id="0" w:name="_Hlk106117851"/>
      <w:r>
        <w:t>Hazardous Waste clean-up</w:t>
      </w:r>
      <w:r w:rsidR="00FF69CA">
        <w:t xml:space="preserve"> can be contentious.  </w:t>
      </w:r>
      <w:r w:rsidR="002B3804">
        <w:t xml:space="preserve">Information gradients and poor communication among stakeholders contribute to a suboptimal experience. </w:t>
      </w:r>
      <w:r w:rsidR="00A3112B" w:rsidRPr="00827D6B">
        <w:t xml:space="preserve">There are very few educational resources for community organizations, governmental agencies and/or commercial entities to help them improve </w:t>
      </w:r>
      <w:r w:rsidR="00D969BB">
        <w:t>multi</w:t>
      </w:r>
      <w:r w:rsidR="00A3112B" w:rsidRPr="00827D6B">
        <w:t xml:space="preserve">-directional communication while addressing an environmental hazard and navigating the cleanup process.  </w:t>
      </w:r>
      <w:r w:rsidR="00F77F9B" w:rsidRPr="00827D6B">
        <w:t>Employing first</w:t>
      </w:r>
      <w:r w:rsidR="00BC2356" w:rsidRPr="00827D6B">
        <w:t>-</w:t>
      </w:r>
      <w:r w:rsidR="00F77F9B" w:rsidRPr="00827D6B">
        <w:t xml:space="preserve">hand </w:t>
      </w:r>
      <w:r w:rsidR="00A3112B" w:rsidRPr="00827D6B">
        <w:t>experience</w:t>
      </w:r>
      <w:r w:rsidR="00BB4D67" w:rsidRPr="00827D6B">
        <w:t>s</w:t>
      </w:r>
      <w:r w:rsidR="003F540B">
        <w:t xml:space="preserve"> and lessons learned</w:t>
      </w:r>
      <w:r w:rsidR="00A3112B" w:rsidRPr="00827D6B">
        <w:t xml:space="preserve">, our objective is to provide a vehicle </w:t>
      </w:r>
      <w:r w:rsidR="00FF69CA">
        <w:t xml:space="preserve">for groups beginning the process of hazardous waste evaluation and clean-up </w:t>
      </w:r>
      <w:r w:rsidR="002B3804">
        <w:t>that</w:t>
      </w:r>
      <w:r w:rsidR="00A3112B" w:rsidRPr="00827D6B">
        <w:t xml:space="preserve"> </w:t>
      </w:r>
      <w:r w:rsidR="003F540B">
        <w:t>support</w:t>
      </w:r>
      <w:r w:rsidR="002B3804">
        <w:t>s</w:t>
      </w:r>
      <w:r w:rsidR="003F540B">
        <w:t xml:space="preserve"> the evolution of </w:t>
      </w:r>
      <w:r w:rsidR="00A3112B" w:rsidRPr="00827D6B">
        <w:t xml:space="preserve">productive relationships between government, </w:t>
      </w:r>
      <w:proofErr w:type="gramStart"/>
      <w:r w:rsidR="00A3112B" w:rsidRPr="00827D6B">
        <w:t>regulators</w:t>
      </w:r>
      <w:proofErr w:type="gramEnd"/>
      <w:r w:rsidR="00A3112B" w:rsidRPr="00827D6B">
        <w:t xml:space="preserve"> and community members</w:t>
      </w:r>
      <w:r w:rsidR="003F540B">
        <w:t>.</w:t>
      </w:r>
      <w:r w:rsidR="00A3112B" w:rsidRPr="00827D6B">
        <w:t xml:space="preserve"> </w:t>
      </w:r>
      <w:r w:rsidR="003F540B">
        <w:t>We found that b</w:t>
      </w:r>
      <w:r w:rsidR="00BC2356" w:rsidRPr="00827D6B">
        <w:t>uilding</w:t>
      </w:r>
      <w:r w:rsidR="00BC2356" w:rsidRPr="00827D6B">
        <w:rPr>
          <w:strike/>
        </w:rPr>
        <w:t xml:space="preserve"> </w:t>
      </w:r>
      <w:r w:rsidR="00A3112B" w:rsidRPr="00827D6B">
        <w:t xml:space="preserve">relationships led to successfully solving complex environmental, public health, community planning and resource development challenges. </w:t>
      </w:r>
    </w:p>
    <w:p w14:paraId="6701DC22" w14:textId="55165DC7" w:rsidR="00A3112B" w:rsidRDefault="00A3112B" w:rsidP="00A3112B">
      <w:r w:rsidRPr="00827D6B">
        <w:t xml:space="preserve">Methods: In a three-site collaboration </w:t>
      </w:r>
      <w:r w:rsidR="002B3804">
        <w:t>among</w:t>
      </w:r>
      <w:r w:rsidRPr="00827D6B">
        <w:t xml:space="preserve"> Community Engagement Cores</w:t>
      </w:r>
      <w:r w:rsidR="005E7C3B">
        <w:t xml:space="preserve"> we held a series of discussions </w:t>
      </w:r>
      <w:proofErr w:type="gramStart"/>
      <w:r w:rsidR="005E7C3B">
        <w:t>comparing and contrasting</w:t>
      </w:r>
      <w:proofErr w:type="gramEnd"/>
      <w:r w:rsidR="005E7C3B">
        <w:t xml:space="preserve"> our experiences distilling unique circumstances and commonalities among sites. We collected media of all types and </w:t>
      </w:r>
      <w:r w:rsidRPr="00827D6B">
        <w:t xml:space="preserve">developed video modules to help other sites and stakeholders facing </w:t>
      </w:r>
      <w:r w:rsidR="003F540B">
        <w:t>the often difficult and lengthy process</w:t>
      </w:r>
      <w:r w:rsidRPr="00827D6B">
        <w:t xml:space="preserve"> </w:t>
      </w:r>
      <w:r w:rsidR="005E7C3B">
        <w:t>of</w:t>
      </w:r>
      <w:r w:rsidRPr="00827D6B">
        <w:t xml:space="preserve"> achieving hazardous waste clean-up. The “lessons learned” for these modules have come from the Fernald OH uranium processing facility site, the Ambler PA asbestos </w:t>
      </w:r>
      <w:r w:rsidR="005E7C3B">
        <w:t>manufacturing site</w:t>
      </w:r>
      <w:r w:rsidRPr="00827D6B">
        <w:t xml:space="preserve">, and the Wilmington MA Olin Chemical Superfund Site.  The </w:t>
      </w:r>
      <w:r w:rsidR="00827D6B">
        <w:t>c</w:t>
      </w:r>
      <w:r w:rsidRPr="00827D6B">
        <w:t xml:space="preserve">ontent addresses: </w:t>
      </w:r>
      <w:r w:rsidR="000368B4">
        <w:t xml:space="preserve">assembling a group including community members, regulations, elected </w:t>
      </w:r>
      <w:proofErr w:type="gramStart"/>
      <w:r w:rsidR="000368B4">
        <w:t>officials</w:t>
      </w:r>
      <w:proofErr w:type="gramEnd"/>
      <w:r w:rsidR="000368B4">
        <w:t xml:space="preserve"> and representatives of the commercial site entity; encouraging self-education; conduction an evaluation; </w:t>
      </w:r>
      <w:r w:rsidRPr="00827D6B">
        <w:t xml:space="preserve">productive protesting; </w:t>
      </w:r>
      <w:r w:rsidR="000368B4">
        <w:t>developing productive relationships; speaking with</w:t>
      </w:r>
      <w:r w:rsidRPr="00827D6B">
        <w:t xml:space="preserve"> the media; </w:t>
      </w:r>
      <w:r w:rsidR="000368B4">
        <w:t xml:space="preserve">working towards agreement on big concepts; considering cost and feasibility of remediation methods. </w:t>
      </w:r>
      <w:r w:rsidRPr="00827D6B">
        <w:t xml:space="preserve">The project was supported by a multi-disciplinary team of </w:t>
      </w:r>
      <w:r w:rsidR="005E7C3B">
        <w:t xml:space="preserve">community </w:t>
      </w:r>
      <w:r w:rsidRPr="00827D6B">
        <w:t xml:space="preserve">stakeholders, professionals in film development and academic partners. Samples from the video modules will be shown with the poster.  </w:t>
      </w:r>
    </w:p>
    <w:bookmarkEnd w:id="0"/>
    <w:p w14:paraId="0991BBA5" w14:textId="2C6CEEF6" w:rsidR="00827D6B" w:rsidRPr="001B5E32" w:rsidRDefault="001B5E32" w:rsidP="00A3112B">
      <w:pPr>
        <w:rPr>
          <w:rFonts w:eastAsia="Times New Roman"/>
          <w:i/>
          <w:iCs/>
        </w:rPr>
      </w:pPr>
      <w:r w:rsidRPr="001B5E32">
        <w:rPr>
          <w:rFonts w:eastAsia="Times New Roman"/>
          <w:i/>
          <w:iCs/>
        </w:rPr>
        <w:t>The content in these modules is based on the concepts contained in an earlier documentary of the process</w:t>
      </w:r>
      <w:r w:rsidRPr="001B5E32">
        <w:rPr>
          <w:rFonts w:eastAsia="Times New Roman"/>
          <w:i/>
          <w:iCs/>
        </w:rPr>
        <w:t xml:space="preserve"> in navigating the clean-up</w:t>
      </w:r>
      <w:r w:rsidRPr="001B5E32">
        <w:rPr>
          <w:rFonts w:eastAsia="Times New Roman"/>
          <w:i/>
          <w:iCs/>
        </w:rPr>
        <w:t xml:space="preserve"> at the Fernald Ohio site, </w:t>
      </w:r>
      <w:r w:rsidRPr="001B5E32">
        <w:rPr>
          <w:rFonts w:eastAsia="Times New Roman"/>
          <w:i/>
          <w:iCs/>
        </w:rPr>
        <w:t>“</w:t>
      </w:r>
      <w:r w:rsidRPr="001B5E32">
        <w:rPr>
          <w:rFonts w:eastAsia="Times New Roman"/>
          <w:i/>
          <w:iCs/>
        </w:rPr>
        <w:t>Roadmap to Resolution</w:t>
      </w:r>
      <w:r w:rsidRPr="001B5E32">
        <w:rPr>
          <w:rFonts w:eastAsia="Times New Roman"/>
          <w:i/>
          <w:iCs/>
        </w:rPr>
        <w:t>”</w:t>
      </w:r>
      <w:r w:rsidRPr="001B5E32">
        <w:rPr>
          <w:rFonts w:eastAsia="Times New Roman"/>
          <w:i/>
          <w:iCs/>
        </w:rPr>
        <w:t>.</w:t>
      </w:r>
      <w:r w:rsidRPr="001B5E32">
        <w:rPr>
          <w:rFonts w:eastAsia="Times New Roman"/>
          <w:i/>
          <w:iCs/>
        </w:rPr>
        <w:t xml:space="preserve"> </w:t>
      </w:r>
      <w:hyperlink r:id="rId4" w:history="1">
        <w:r w:rsidRPr="001B5E32">
          <w:rPr>
            <w:rStyle w:val="Hyperlink"/>
            <w:rFonts w:eastAsia="Times New Roman"/>
            <w:i/>
            <w:iCs/>
          </w:rPr>
          <w:t>http://www.fernaldcommunityalliance.org/Roadmap-to-Resolution.html</w:t>
        </w:r>
      </w:hyperlink>
    </w:p>
    <w:p w14:paraId="5967F056" w14:textId="5FFB909B" w:rsidR="001B5E32" w:rsidRPr="001B5E32" w:rsidRDefault="001B5E32" w:rsidP="00A3112B">
      <w:r w:rsidRPr="001B5E32">
        <w:rPr>
          <w:rFonts w:ascii="Arial" w:hAnsi="Arial" w:cs="Arial"/>
          <w:color w:val="2F4145"/>
          <w:sz w:val="20"/>
          <w:szCs w:val="20"/>
          <w:bdr w:val="none" w:sz="0" w:space="0" w:color="auto" w:frame="1"/>
          <w:shd w:val="clear" w:color="auto" w:fill="FFFFFF"/>
        </w:rPr>
        <w:t>This work was supported by the National Institute of Environmental Health Sciences Superfund Basic Research Program, National Institute of Health</w:t>
      </w:r>
      <w:r>
        <w:rPr>
          <w:rFonts w:ascii="Arial" w:hAnsi="Arial" w:cs="Arial"/>
          <w:color w:val="2F4145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r w:rsidRPr="001B5E32">
        <w:rPr>
          <w:rFonts w:ascii="Calibri" w:eastAsiaTheme="minorEastAsia" w:hAnsi="Calibri" w:cs="Calibri"/>
          <w:color w:val="000000" w:themeColor="text1"/>
          <w:spacing w:val="24"/>
          <w:kern w:val="24"/>
          <w:position w:val="1"/>
        </w:rPr>
        <w:t>P30</w:t>
      </w:r>
      <w:r w:rsidRPr="001B5E32">
        <w:rPr>
          <w:rFonts w:ascii="Calibri" w:eastAsia="Calibri" w:hAnsi="Calibri" w:cs="Calibri"/>
          <w:color w:val="000000" w:themeColor="text1"/>
          <w:spacing w:val="24"/>
          <w:kern w:val="24"/>
          <w:position w:val="1"/>
        </w:rPr>
        <w:t>ES006096</w:t>
      </w:r>
      <w:r w:rsidRPr="001B5E32">
        <w:rPr>
          <w:rFonts w:ascii="Calibri" w:eastAsia="Calibri" w:hAnsi="Calibri"/>
          <w:color w:val="000000" w:themeColor="text1"/>
          <w:spacing w:val="24"/>
          <w:kern w:val="24"/>
          <w:position w:val="1"/>
        </w:rPr>
        <w:t xml:space="preserve">, </w:t>
      </w:r>
      <w:r w:rsidRPr="001B5E32">
        <w:rPr>
          <w:rFonts w:ascii="Calibri" w:hAnsi="Calibri"/>
          <w:color w:val="000000" w:themeColor="text1"/>
          <w:spacing w:val="24"/>
          <w:kern w:val="24"/>
          <w:position w:val="1"/>
        </w:rPr>
        <w:t>P30ES013508,</w:t>
      </w:r>
      <w:r w:rsidRPr="001B5E32">
        <w:rPr>
          <w:rFonts w:ascii="Arial" w:eastAsia="Calibri" w:hAnsi="Arial"/>
          <w:color w:val="000000" w:themeColor="text1"/>
          <w:spacing w:val="24"/>
          <w:kern w:val="24"/>
        </w:rPr>
        <w:t xml:space="preserve"> </w:t>
      </w:r>
      <w:r w:rsidRPr="001B5E32">
        <w:rPr>
          <w:rFonts w:ascii="Calibri" w:eastAsia="Calibri" w:hAnsi="Calibri" w:cs="Calibri"/>
          <w:color w:val="000000" w:themeColor="text1"/>
          <w:spacing w:val="24"/>
          <w:kern w:val="24"/>
          <w:position w:val="1"/>
        </w:rPr>
        <w:t>P42ES02770</w:t>
      </w:r>
      <w:r w:rsidRPr="001B5E32">
        <w:rPr>
          <w:rFonts w:ascii="Calibri" w:eastAsia="Calibri" w:hAnsi="Calibri" w:cs="Calibri"/>
          <w:color w:val="2F4145"/>
          <w:spacing w:val="24"/>
          <w:kern w:val="24"/>
          <w:position w:val="1"/>
        </w:rPr>
        <w:t>7</w:t>
      </w:r>
      <w:r>
        <w:rPr>
          <w:rFonts w:ascii="Calibri" w:eastAsia="Calibri" w:hAnsi="Calibri" w:cs="Calibri"/>
          <w:color w:val="2F4145"/>
          <w:spacing w:val="24"/>
          <w:kern w:val="24"/>
          <w:position w:val="1"/>
        </w:rPr>
        <w:t xml:space="preserve">. </w:t>
      </w:r>
    </w:p>
    <w:sectPr w:rsidR="001B5E32" w:rsidRPr="001B5E32" w:rsidSect="00253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12B"/>
    <w:rsid w:val="000368B4"/>
    <w:rsid w:val="001B5E32"/>
    <w:rsid w:val="001C4758"/>
    <w:rsid w:val="00204527"/>
    <w:rsid w:val="002532B5"/>
    <w:rsid w:val="00276150"/>
    <w:rsid w:val="002B3804"/>
    <w:rsid w:val="00331C62"/>
    <w:rsid w:val="003D4DB1"/>
    <w:rsid w:val="003F540B"/>
    <w:rsid w:val="00522EDC"/>
    <w:rsid w:val="005E7C3B"/>
    <w:rsid w:val="005F65BF"/>
    <w:rsid w:val="00813914"/>
    <w:rsid w:val="00827D6B"/>
    <w:rsid w:val="0087678F"/>
    <w:rsid w:val="00982FD2"/>
    <w:rsid w:val="00A3112B"/>
    <w:rsid w:val="00AD4B8D"/>
    <w:rsid w:val="00B71343"/>
    <w:rsid w:val="00B811B6"/>
    <w:rsid w:val="00BB4D67"/>
    <w:rsid w:val="00BC2356"/>
    <w:rsid w:val="00D969BB"/>
    <w:rsid w:val="00F77F9B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80B56"/>
  <w15:chartTrackingRefBased/>
  <w15:docId w15:val="{AC1CEEB0-7604-403E-A6B3-D08AF4BF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82FD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5E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5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ernaldcommunityalliance.org/Roadmap-to-Resolu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Mead Vandiver</dc:creator>
  <cp:keywords/>
  <dc:description/>
  <cp:lastModifiedBy>Pinney, Susan (pinneysm)</cp:lastModifiedBy>
  <cp:revision>3</cp:revision>
  <dcterms:created xsi:type="dcterms:W3CDTF">2022-07-06T00:58:00Z</dcterms:created>
  <dcterms:modified xsi:type="dcterms:W3CDTF">2022-07-06T01:03:00Z</dcterms:modified>
</cp:coreProperties>
</file>