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0118" w14:textId="11FB67E7" w:rsidR="00B34B09" w:rsidRPr="000B6FA2" w:rsidRDefault="006764E5" w:rsidP="7776A4FE">
      <w:pPr>
        <w:jc w:val="center"/>
        <w:rPr>
          <w:rFonts w:ascii="Open Sans" w:eastAsia="Open Sans" w:hAnsi="Open Sans" w:cs="Open Sans"/>
          <w:b/>
          <w:bCs/>
          <w:color w:val="000000" w:themeColor="text1"/>
        </w:rPr>
      </w:pPr>
      <w:r w:rsidRPr="7776A4FE">
        <w:rPr>
          <w:rFonts w:ascii="Open Sans" w:eastAsia="Open Sans" w:hAnsi="Open Sans" w:cs="Open Sans"/>
          <w:b/>
          <w:bCs/>
          <w:color w:val="000000" w:themeColor="text1"/>
        </w:rPr>
        <w:t xml:space="preserve">UC </w:t>
      </w:r>
      <w:r w:rsidR="00B34B09" w:rsidRPr="7776A4FE">
        <w:rPr>
          <w:rFonts w:ascii="Open Sans" w:eastAsia="Open Sans" w:hAnsi="Open Sans" w:cs="Open Sans"/>
          <w:b/>
          <w:bCs/>
          <w:color w:val="000000" w:themeColor="text1"/>
        </w:rPr>
        <w:t>Area Health Education Center (AHEC)</w:t>
      </w:r>
      <w:r w:rsidR="00FF45E0" w:rsidRPr="7776A4FE">
        <w:rPr>
          <w:rFonts w:ascii="Open Sans" w:eastAsia="Open Sans" w:hAnsi="Open Sans" w:cs="Open Sans"/>
          <w:b/>
          <w:bCs/>
          <w:color w:val="000000" w:themeColor="text1"/>
        </w:rPr>
        <w:t xml:space="preserve"> </w:t>
      </w:r>
      <w:r w:rsidRPr="7776A4FE">
        <w:rPr>
          <w:rFonts w:ascii="Open Sans" w:eastAsia="Open Sans" w:hAnsi="Open Sans" w:cs="Open Sans"/>
          <w:b/>
          <w:bCs/>
          <w:color w:val="000000" w:themeColor="text1"/>
        </w:rPr>
        <w:t>Resources</w:t>
      </w:r>
      <w:r w:rsidR="2AF5296E" w:rsidRPr="7776A4FE">
        <w:rPr>
          <w:rFonts w:ascii="Open Sans" w:eastAsia="Open Sans" w:hAnsi="Open Sans" w:cs="Open Sans"/>
          <w:b/>
          <w:bCs/>
          <w:color w:val="000000" w:themeColor="text1"/>
        </w:rPr>
        <w:t xml:space="preserve">: </w:t>
      </w:r>
      <w:r w:rsidR="00415308">
        <w:rPr>
          <w:rFonts w:ascii="Open Sans" w:eastAsia="Open Sans" w:hAnsi="Open Sans" w:cs="Open Sans"/>
          <w:b/>
          <w:bCs/>
          <w:color w:val="000000" w:themeColor="text1"/>
        </w:rPr>
        <w:t>December</w:t>
      </w:r>
      <w:r w:rsidR="2AF5296E" w:rsidRPr="7776A4FE">
        <w:rPr>
          <w:rFonts w:ascii="Open Sans" w:eastAsia="Open Sans" w:hAnsi="Open Sans" w:cs="Open Sans"/>
          <w:b/>
          <w:bCs/>
          <w:color w:val="000000" w:themeColor="text1"/>
        </w:rPr>
        <w:t xml:space="preserve"> 2021</w:t>
      </w:r>
    </w:p>
    <w:p w14:paraId="7A5F94CF" w14:textId="562B67AB" w:rsidR="7776A4FE" w:rsidRDefault="7776A4FE" w:rsidP="7776A4FE">
      <w:pPr>
        <w:jc w:val="center"/>
        <w:rPr>
          <w:rFonts w:ascii="Open Sans" w:eastAsia="Open Sans" w:hAnsi="Open Sans" w:cs="Open Sans"/>
          <w:b/>
          <w:bCs/>
          <w:color w:val="000000" w:themeColor="text1"/>
        </w:rPr>
      </w:pPr>
    </w:p>
    <w:p w14:paraId="7EEC5A7A" w14:textId="1F120A3C" w:rsidR="03B24E56" w:rsidRDefault="03B24E56" w:rsidP="00E825A4">
      <w:pPr>
        <w:jc w:val="center"/>
        <w:rPr>
          <w:rFonts w:ascii="Open Sans" w:eastAsia="Open Sans" w:hAnsi="Open Sans" w:cs="Open Sans"/>
        </w:rPr>
      </w:pPr>
      <w:r w:rsidRPr="7776A4FE">
        <w:rPr>
          <w:rFonts w:ascii="Open Sans" w:eastAsia="Open Sans" w:hAnsi="Open Sans" w:cs="Open Sans"/>
        </w:rPr>
        <w:t>This resource guide highlights upcoming webinars</w:t>
      </w:r>
      <w:r w:rsidR="6A48E8A6" w:rsidRPr="7776A4FE">
        <w:rPr>
          <w:rFonts w:ascii="Open Sans" w:eastAsia="Open Sans" w:hAnsi="Open Sans" w:cs="Open Sans"/>
        </w:rPr>
        <w:t xml:space="preserve">, </w:t>
      </w:r>
      <w:r w:rsidRPr="7776A4FE">
        <w:rPr>
          <w:rFonts w:ascii="Open Sans" w:eastAsia="Open Sans" w:hAnsi="Open Sans" w:cs="Open Sans"/>
        </w:rPr>
        <w:t xml:space="preserve">activities </w:t>
      </w:r>
      <w:r w:rsidR="03A3ADA2" w:rsidRPr="7776A4FE">
        <w:rPr>
          <w:rFonts w:ascii="Open Sans" w:eastAsia="Open Sans" w:hAnsi="Open Sans" w:cs="Open Sans"/>
        </w:rPr>
        <w:t xml:space="preserve">and organizations </w:t>
      </w:r>
      <w:r w:rsidRPr="7776A4FE">
        <w:rPr>
          <w:rFonts w:ascii="Open Sans" w:eastAsia="Open Sans" w:hAnsi="Open Sans" w:cs="Open Sans"/>
        </w:rPr>
        <w:t xml:space="preserve">of interest </w:t>
      </w:r>
      <w:r w:rsidR="4A6274AE" w:rsidRPr="7776A4FE">
        <w:rPr>
          <w:rFonts w:ascii="Open Sans" w:eastAsia="Open Sans" w:hAnsi="Open Sans" w:cs="Open Sans"/>
        </w:rPr>
        <w:t>and is</w:t>
      </w:r>
      <w:r w:rsidRPr="7776A4FE">
        <w:rPr>
          <w:rFonts w:ascii="Open Sans" w:eastAsia="Open Sans" w:hAnsi="Open Sans" w:cs="Open Sans"/>
        </w:rPr>
        <w:t xml:space="preserve"> organized by topic and type of activity. </w:t>
      </w:r>
    </w:p>
    <w:p w14:paraId="121F712C" w14:textId="77777777" w:rsidR="00E825A4" w:rsidRDefault="00E825A4" w:rsidP="00E825A4">
      <w:pPr>
        <w:jc w:val="center"/>
        <w:rPr>
          <w:rFonts w:ascii="Open Sans" w:eastAsia="Open Sans" w:hAnsi="Open Sans" w:cs="Open Sans"/>
        </w:rPr>
      </w:pPr>
    </w:p>
    <w:p w14:paraId="2B6B174E" w14:textId="01A8C7EB" w:rsidR="00F90B29" w:rsidRPr="000B6FA2" w:rsidRDefault="03B24E56" w:rsidP="2132B5BD">
      <w:pPr>
        <w:pStyle w:val="NormalWeb"/>
        <w:spacing w:before="0" w:beforeAutospacing="0" w:after="0" w:afterAutospacing="0"/>
        <w:textAlignment w:val="baseline"/>
        <w:rPr>
          <w:rFonts w:ascii="Open Sans" w:eastAsia="Open Sans" w:hAnsi="Open Sans" w:cs="Open Sans"/>
          <w:b/>
          <w:bCs/>
          <w:i/>
          <w:iCs/>
          <w:color w:val="000000"/>
        </w:rPr>
      </w:pPr>
      <w:r w:rsidRPr="2132B5BD">
        <w:rPr>
          <w:rFonts w:ascii="Open Sans" w:eastAsia="Open Sans" w:hAnsi="Open Sans" w:cs="Open Sans"/>
          <w:b/>
          <w:bCs/>
          <w:i/>
          <w:iCs/>
          <w:color w:val="000000" w:themeColor="text1"/>
        </w:rPr>
        <w:t xml:space="preserve">Healthcare </w:t>
      </w:r>
      <w:r w:rsidR="6FF0F6EB" w:rsidRPr="2132B5BD">
        <w:rPr>
          <w:rFonts w:ascii="Open Sans" w:eastAsia="Open Sans" w:hAnsi="Open Sans" w:cs="Open Sans"/>
          <w:b/>
          <w:bCs/>
          <w:i/>
          <w:iCs/>
          <w:color w:val="000000" w:themeColor="text1"/>
        </w:rPr>
        <w:t>W</w:t>
      </w:r>
      <w:r w:rsidRPr="2132B5BD">
        <w:rPr>
          <w:rFonts w:ascii="Open Sans" w:eastAsia="Open Sans" w:hAnsi="Open Sans" w:cs="Open Sans"/>
          <w:b/>
          <w:bCs/>
          <w:i/>
          <w:iCs/>
          <w:color w:val="000000" w:themeColor="text1"/>
        </w:rPr>
        <w:t>orkforce and Pipeline</w:t>
      </w:r>
    </w:p>
    <w:p w14:paraId="4E82FC68" w14:textId="34067E38" w:rsidR="00B80682" w:rsidRDefault="00415308" w:rsidP="00B80682">
      <w:pPr>
        <w:spacing w:before="240" w:after="240"/>
        <w:rPr>
          <w:rFonts w:ascii="Open Sans" w:hAnsi="Open Sans" w:cs="Open Sans"/>
          <w:color w:val="000000"/>
        </w:rPr>
      </w:pPr>
      <w:r>
        <w:rPr>
          <w:rFonts w:ascii="Open Sans" w:hAnsi="Open Sans" w:cs="Open Sans"/>
          <w:color w:val="FF0000"/>
        </w:rPr>
        <w:t>REPORT</w:t>
      </w:r>
      <w:r w:rsidR="009830F6" w:rsidRPr="009830F6">
        <w:rPr>
          <w:rFonts w:ascii="Open Sans" w:hAnsi="Open Sans" w:cs="Open Sans"/>
          <w:color w:val="FF0000"/>
        </w:rPr>
        <w:t>:</w:t>
      </w:r>
      <w:r w:rsidR="009830F6">
        <w:rPr>
          <w:rFonts w:ascii="Open Sans" w:hAnsi="Open Sans" w:cs="Open Sans"/>
          <w:color w:val="000000"/>
        </w:rPr>
        <w:t xml:space="preserve"> </w:t>
      </w:r>
      <w:r>
        <w:rPr>
          <w:rFonts w:ascii="Open Sans" w:hAnsi="Open Sans" w:cs="Open Sans"/>
          <w:color w:val="000000"/>
        </w:rPr>
        <w:t xml:space="preserve">The Department of Health &amp; Human Services released </w:t>
      </w:r>
      <w:r w:rsidR="00CD03AF">
        <w:rPr>
          <w:rFonts w:ascii="Open Sans" w:hAnsi="Open Sans" w:cs="Open Sans"/>
          <w:color w:val="000000"/>
        </w:rPr>
        <w:t>its Health Workforce Strategic Plan in October. It provides a framework for forward-looking health workforce improvements, focused on four key goals – expanding supply, ensuring equitable distribution, improving quality and enhancing the use of data and evidence to improve outcomes.</w:t>
      </w:r>
      <w:r w:rsidR="00CD03AF" w:rsidRPr="00CD03AF">
        <w:t xml:space="preserve"> </w:t>
      </w:r>
      <w:hyperlink r:id="rId10" w:history="1">
        <w:r w:rsidR="00CD03AF" w:rsidRPr="007B727A">
          <w:rPr>
            <w:rStyle w:val="Hyperlink"/>
            <w:rFonts w:ascii="Open Sans" w:hAnsi="Open Sans" w:cs="Open Sans"/>
          </w:rPr>
          <w:t>https://bhw.hrsa.gov/sites/default/files/bureau-health-workforce/about-us/hhs-health-workforce-strategic-plan-2021.pdf</w:t>
        </w:r>
      </w:hyperlink>
    </w:p>
    <w:p w14:paraId="1EDAF7F8" w14:textId="77777777" w:rsidR="00AA14ED" w:rsidRDefault="00ED698B" w:rsidP="00AA14ED">
      <w:pPr>
        <w:rPr>
          <w:rFonts w:ascii="Open Sans" w:hAnsi="Open Sans" w:cs="Open Sans"/>
        </w:rPr>
      </w:pPr>
      <w:r>
        <w:rPr>
          <w:rFonts w:ascii="Open Sans" w:hAnsi="Open Sans" w:cs="Open Sans"/>
          <w:color w:val="FF0000"/>
        </w:rPr>
        <w:t>REPORT</w:t>
      </w:r>
      <w:r w:rsidR="00E64D3D" w:rsidRPr="00E64D3D">
        <w:rPr>
          <w:rFonts w:ascii="Open Sans" w:hAnsi="Open Sans" w:cs="Open Sans"/>
          <w:color w:val="FF0000"/>
        </w:rPr>
        <w:t>:</w:t>
      </w:r>
      <w:r w:rsidR="00E64D3D">
        <w:rPr>
          <w:rFonts w:ascii="Open Sans" w:hAnsi="Open Sans" w:cs="Open Sans"/>
          <w:color w:val="464646"/>
        </w:rPr>
        <w:t xml:space="preserve"> </w:t>
      </w:r>
      <w:r w:rsidR="00AA14ED">
        <w:rPr>
          <w:rFonts w:ascii="Open Sans" w:hAnsi="Open Sans" w:cs="Open Sans"/>
          <w:color w:val="464646"/>
        </w:rPr>
        <w:t xml:space="preserve">Rand Institute report on “Building Ohio’s Workforce Through Stackable Credentials” outlines how Ohio has been a leader in scaling stackable credentials programs. Stackable credentials are common in fields that offer many ‘middle-skill jobs’ – those that require some post-secondary education and training below the bachelor’s degree level. </w:t>
      </w:r>
      <w:hyperlink r:id="rId11" w:history="1">
        <w:r w:rsidR="00AA14ED" w:rsidRPr="00AA14ED">
          <w:rPr>
            <w:rStyle w:val="Hyperlink"/>
            <w:rFonts w:ascii="Open Sans" w:hAnsi="Open Sans" w:cs="Open Sans"/>
          </w:rPr>
          <w:t>https://www.rand.org/pubs/research_br</w:t>
        </w:r>
        <w:r w:rsidR="00AA14ED" w:rsidRPr="00AA14ED">
          <w:rPr>
            <w:rStyle w:val="Hyperlink"/>
            <w:rFonts w:ascii="Open Sans" w:hAnsi="Open Sans" w:cs="Open Sans"/>
          </w:rPr>
          <w:t>i</w:t>
        </w:r>
        <w:r w:rsidR="00AA14ED" w:rsidRPr="00AA14ED">
          <w:rPr>
            <w:rStyle w:val="Hyperlink"/>
            <w:rFonts w:ascii="Open Sans" w:hAnsi="Open Sans" w:cs="Open Sans"/>
          </w:rPr>
          <w:t>efs/RBA207-1.html</w:t>
        </w:r>
      </w:hyperlink>
    </w:p>
    <w:p w14:paraId="535A8873" w14:textId="186AD823" w:rsidR="00D1210F" w:rsidRDefault="7E3EB2BD" w:rsidP="00ED698B">
      <w:pPr>
        <w:spacing w:before="240" w:after="240"/>
        <w:rPr>
          <w:rFonts w:ascii="Open Sans" w:eastAsia="Open Sans" w:hAnsi="Open Sans" w:cs="Open Sans"/>
          <w:b/>
          <w:bCs/>
          <w:i/>
          <w:iCs/>
          <w:color w:val="000000"/>
        </w:rPr>
      </w:pPr>
      <w:r w:rsidRPr="7776A4FE">
        <w:rPr>
          <w:rFonts w:ascii="Open Sans" w:eastAsia="Open Sans" w:hAnsi="Open Sans" w:cs="Open Sans"/>
          <w:b/>
          <w:bCs/>
          <w:i/>
          <w:iCs/>
          <w:color w:val="000000" w:themeColor="text1"/>
        </w:rPr>
        <w:t>Strategic Regional Partnerships</w:t>
      </w:r>
    </w:p>
    <w:p w14:paraId="5FA28413" w14:textId="396272DF" w:rsidR="00D1210F" w:rsidRDefault="000B103E" w:rsidP="00094E5D">
      <w:pPr>
        <w:rPr>
          <w:rFonts w:ascii="Open Sans" w:hAnsi="Open Sans" w:cs="Open Sans"/>
          <w:color w:val="545454"/>
        </w:rPr>
      </w:pPr>
      <w:r>
        <w:rPr>
          <w:rFonts w:ascii="Open Sans" w:hAnsi="Open Sans" w:cs="Open Sans"/>
          <w:color w:val="FF0000"/>
        </w:rPr>
        <w:t>WEB RESOURCE</w:t>
      </w:r>
      <w:r w:rsidR="00E825A4" w:rsidRPr="00094E5D">
        <w:rPr>
          <w:rFonts w:ascii="Open Sans" w:hAnsi="Open Sans" w:cs="Open Sans"/>
          <w:color w:val="FF0000"/>
        </w:rPr>
        <w:t>:</w:t>
      </w:r>
      <w:r w:rsidR="00E825A4" w:rsidRPr="00094E5D">
        <w:rPr>
          <w:rFonts w:ascii="Open Sans" w:hAnsi="Open Sans" w:cs="Open Sans"/>
          <w:color w:val="545454"/>
        </w:rPr>
        <w:t xml:space="preserve"> </w:t>
      </w:r>
      <w:r w:rsidR="007647E6">
        <w:rPr>
          <w:rFonts w:ascii="Open Sans" w:hAnsi="Open Sans" w:cs="Open Sans"/>
          <w:color w:val="545454"/>
        </w:rPr>
        <w:t>This guide from the National Council on Mental Wellbeing details how m</w:t>
      </w:r>
      <w:r>
        <w:rPr>
          <w:rFonts w:ascii="Open Sans" w:hAnsi="Open Sans" w:cs="Open Sans"/>
          <w:color w:val="545454"/>
        </w:rPr>
        <w:t xml:space="preserve">eaningful youth-adult partnerships across the nation are inspiring transformational community change to build responsive support systems that nurture resilience, self-efficacy and mental well-being.  </w:t>
      </w:r>
      <w:hyperlink r:id="rId12" w:history="1">
        <w:r w:rsidRPr="007B727A">
          <w:rPr>
            <w:rStyle w:val="Hyperlink"/>
            <w:rFonts w:ascii="Open Sans" w:hAnsi="Open Sans" w:cs="Open Sans"/>
          </w:rPr>
          <w:t>https://www.thenationalcouncil.org/connected/youth-adult-partnership-guide</w:t>
        </w:r>
      </w:hyperlink>
    </w:p>
    <w:p w14:paraId="0FE0A736" w14:textId="387B8CDF" w:rsidR="00E825A4" w:rsidRPr="00094E5D" w:rsidRDefault="00E825A4" w:rsidP="00094E5D">
      <w:pPr>
        <w:rPr>
          <w:rFonts w:ascii="Open Sans" w:hAnsi="Open Sans" w:cs="Open Sans"/>
          <w:color w:val="545454"/>
        </w:rPr>
      </w:pPr>
    </w:p>
    <w:p w14:paraId="4A6ADF13" w14:textId="4581DCB5" w:rsidR="1F004D7E" w:rsidRDefault="1F004D7E" w:rsidP="7776A4FE">
      <w:pPr>
        <w:pStyle w:val="NormalWeb"/>
        <w:spacing w:before="0" w:beforeAutospacing="0" w:after="0" w:afterAutospacing="0"/>
        <w:rPr>
          <w:rFonts w:ascii="Open Sans" w:eastAsia="Open Sans" w:hAnsi="Open Sans" w:cs="Open Sans"/>
          <w:b/>
          <w:bCs/>
          <w:i/>
          <w:iCs/>
          <w:color w:val="000000" w:themeColor="text1"/>
        </w:rPr>
      </w:pPr>
      <w:bookmarkStart w:id="0" w:name="_GoBack"/>
      <w:bookmarkEnd w:id="0"/>
      <w:r w:rsidRPr="7776A4FE">
        <w:rPr>
          <w:rFonts w:ascii="Open Sans" w:eastAsia="Open Sans" w:hAnsi="Open Sans" w:cs="Open Sans"/>
          <w:b/>
          <w:bCs/>
          <w:i/>
          <w:iCs/>
          <w:color w:val="000000" w:themeColor="text1"/>
        </w:rPr>
        <w:t>Interprofess</w:t>
      </w:r>
      <w:r w:rsidR="00214E9B">
        <w:rPr>
          <w:rFonts w:ascii="Open Sans" w:eastAsia="Open Sans" w:hAnsi="Open Sans" w:cs="Open Sans"/>
          <w:b/>
          <w:bCs/>
          <w:i/>
          <w:iCs/>
          <w:color w:val="000000" w:themeColor="text1"/>
        </w:rPr>
        <w:t>i</w:t>
      </w:r>
      <w:r w:rsidRPr="7776A4FE">
        <w:rPr>
          <w:rFonts w:ascii="Open Sans" w:eastAsia="Open Sans" w:hAnsi="Open Sans" w:cs="Open Sans"/>
          <w:b/>
          <w:bCs/>
          <w:i/>
          <w:iCs/>
          <w:color w:val="000000" w:themeColor="text1"/>
        </w:rPr>
        <w:t xml:space="preserve">onal Learners </w:t>
      </w:r>
      <w:r w:rsidR="2C88C527" w:rsidRPr="7776A4FE">
        <w:rPr>
          <w:rFonts w:ascii="Open Sans" w:eastAsia="Open Sans" w:hAnsi="Open Sans" w:cs="Open Sans"/>
          <w:b/>
          <w:bCs/>
          <w:i/>
          <w:iCs/>
          <w:color w:val="000000" w:themeColor="text1"/>
        </w:rPr>
        <w:t>who</w:t>
      </w:r>
      <w:r w:rsidRPr="7776A4FE">
        <w:rPr>
          <w:rFonts w:ascii="Open Sans" w:eastAsia="Open Sans" w:hAnsi="Open Sans" w:cs="Open Sans"/>
          <w:b/>
          <w:bCs/>
          <w:i/>
          <w:iCs/>
          <w:color w:val="000000" w:themeColor="text1"/>
        </w:rPr>
        <w:t xml:space="preserve"> Serve the Community </w:t>
      </w:r>
    </w:p>
    <w:p w14:paraId="52E56223" w14:textId="77777777" w:rsidR="00B34B09" w:rsidRPr="005D639C" w:rsidRDefault="00B34B09" w:rsidP="7776A4FE">
      <w:pPr>
        <w:pStyle w:val="NormalWeb"/>
        <w:spacing w:before="0" w:beforeAutospacing="0" w:after="0" w:afterAutospacing="0"/>
        <w:textAlignment w:val="baseline"/>
        <w:rPr>
          <w:rFonts w:ascii="Open Sans" w:eastAsia="Open Sans" w:hAnsi="Open Sans" w:cs="Open Sans"/>
          <w:i/>
          <w:iCs/>
          <w:color w:val="000000"/>
        </w:rPr>
      </w:pPr>
    </w:p>
    <w:p w14:paraId="60583787" w14:textId="2448777C" w:rsidR="00301202" w:rsidRDefault="00301202" w:rsidP="00301202">
      <w:pPr>
        <w:rPr>
          <w:rFonts w:ascii="Open Sans" w:hAnsi="Open Sans" w:cs="Open Sans"/>
        </w:rPr>
      </w:pPr>
      <w:r>
        <w:rPr>
          <w:rFonts w:ascii="Open Sans" w:hAnsi="Open Sans" w:cs="Open Sans"/>
          <w:color w:val="FF0000"/>
        </w:rPr>
        <w:t>JOURNAL ARTICLE</w:t>
      </w:r>
      <w:r w:rsidR="0091491F" w:rsidRPr="00094E5D">
        <w:rPr>
          <w:rFonts w:ascii="Open Sans" w:hAnsi="Open Sans" w:cs="Open Sans"/>
          <w:color w:val="FF0000"/>
        </w:rPr>
        <w:t>:</w:t>
      </w:r>
      <w:r w:rsidR="0091491F" w:rsidRPr="00094E5D">
        <w:rPr>
          <w:rFonts w:ascii="Open Sans" w:hAnsi="Open Sans" w:cs="Open Sans"/>
        </w:rPr>
        <w:t xml:space="preserve"> </w:t>
      </w:r>
      <w:r w:rsidRPr="007647E6">
        <w:rPr>
          <w:rFonts w:ascii="Open Sans" w:hAnsi="Open Sans" w:cs="Open Sans"/>
          <w:i/>
          <w:iCs/>
        </w:rPr>
        <w:t>“Preparing Health Professions Students to Serve Southern Rural Communities – A Model for Interprofessional Online Telehealth Training.”</w:t>
      </w:r>
      <w:r>
        <w:rPr>
          <w:rFonts w:ascii="Open Sans" w:hAnsi="Open Sans" w:cs="Open Sans"/>
        </w:rPr>
        <w:t xml:space="preserve"> </w:t>
      </w:r>
      <w:r w:rsidRPr="00301202">
        <w:rPr>
          <w:rFonts w:ascii="Open Sans" w:eastAsia="Times New Roman" w:hAnsi="Open Sans" w:cs="Open Sans"/>
          <w:color w:val="505050"/>
        </w:rPr>
        <w:t>Describes a model for online telehealth interprofessional education (IPE) designed to meet the needs of rural communities in the South. Offers an overview of the program's design and implementation and highlights lessons learned related to training fundamentals, staffing and planning, faculty involvement, technology concerns, and Heath Insurance Portability and Accountability Act (HIPAA) compliance, and more.</w:t>
      </w:r>
      <w:r w:rsidRPr="00301202">
        <w:rPr>
          <w:rFonts w:ascii="Open Sans" w:eastAsia="Times New Roman" w:hAnsi="Open Sans" w:cs="Open Sans"/>
          <w:color w:val="505050"/>
        </w:rPr>
        <w:br/>
      </w:r>
      <w:hyperlink r:id="rId13" w:history="1">
        <w:r w:rsidRPr="00301202">
          <w:rPr>
            <w:rStyle w:val="Hyperlink"/>
            <w:rFonts w:ascii="Open Sans" w:hAnsi="Open Sans" w:cs="Open Sans"/>
          </w:rPr>
          <w:t>https://www.ncbi.nlm.nih.gov/pmc/articles/PMC8505031/</w:t>
        </w:r>
      </w:hyperlink>
    </w:p>
    <w:p w14:paraId="2B2EBB7D" w14:textId="3BF27AA7" w:rsidR="0091491F" w:rsidRDefault="00301202" w:rsidP="00301202">
      <w:pPr>
        <w:rPr>
          <w:rFonts w:ascii="Open Sans" w:eastAsia="Open Sans" w:hAnsi="Open Sans" w:cs="Open Sans"/>
          <w:color w:val="000000"/>
        </w:rPr>
      </w:pPr>
      <w:r>
        <w:rPr>
          <w:rFonts w:ascii="Open Sans" w:eastAsia="Open Sans" w:hAnsi="Open Sans" w:cs="Open Sans"/>
          <w:color w:val="000000"/>
        </w:rPr>
        <w:t xml:space="preserve"> </w:t>
      </w:r>
    </w:p>
    <w:p w14:paraId="28AB292A" w14:textId="77777777" w:rsidR="0091491F" w:rsidRPr="0091491F" w:rsidRDefault="0091491F" w:rsidP="7776A4FE">
      <w:pPr>
        <w:pStyle w:val="NormalWeb"/>
        <w:spacing w:before="0" w:beforeAutospacing="0" w:after="0" w:afterAutospacing="0"/>
        <w:textAlignment w:val="baseline"/>
        <w:rPr>
          <w:rFonts w:ascii="Open Sans" w:eastAsia="Open Sans" w:hAnsi="Open Sans" w:cs="Open Sans"/>
          <w:color w:val="000000"/>
        </w:rPr>
      </w:pPr>
    </w:p>
    <w:sectPr w:rsidR="0091491F" w:rsidRPr="0091491F" w:rsidSect="006E5F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0E05" w14:textId="77777777" w:rsidR="00A020E0" w:rsidRDefault="00A020E0" w:rsidP="003315AF">
      <w:r>
        <w:separator/>
      </w:r>
    </w:p>
  </w:endnote>
  <w:endnote w:type="continuationSeparator" w:id="0">
    <w:p w14:paraId="2B0DCBA5" w14:textId="77777777" w:rsidR="00A020E0" w:rsidRDefault="00A020E0" w:rsidP="0033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5C7D" w14:textId="77777777" w:rsidR="00A020E0" w:rsidRDefault="00A020E0" w:rsidP="003315AF">
      <w:r>
        <w:separator/>
      </w:r>
    </w:p>
  </w:footnote>
  <w:footnote w:type="continuationSeparator" w:id="0">
    <w:p w14:paraId="23D73E2A" w14:textId="77777777" w:rsidR="00A020E0" w:rsidRDefault="00A020E0" w:rsidP="0033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02E"/>
    <w:multiLevelType w:val="multilevel"/>
    <w:tmpl w:val="E85CD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00891"/>
    <w:multiLevelType w:val="multilevel"/>
    <w:tmpl w:val="C80E6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93B06"/>
    <w:multiLevelType w:val="hybridMultilevel"/>
    <w:tmpl w:val="189A1816"/>
    <w:lvl w:ilvl="0" w:tplc="5344B926">
      <w:start w:val="1"/>
      <w:numFmt w:val="bullet"/>
      <w:lvlText w:val=""/>
      <w:lvlJc w:val="left"/>
      <w:pPr>
        <w:tabs>
          <w:tab w:val="num" w:pos="720"/>
        </w:tabs>
        <w:ind w:left="720" w:hanging="360"/>
      </w:pPr>
      <w:rPr>
        <w:rFonts w:ascii="Symbol" w:hAnsi="Symbol" w:hint="default"/>
        <w:sz w:val="20"/>
      </w:rPr>
    </w:lvl>
    <w:lvl w:ilvl="1" w:tplc="765E65F6" w:tentative="1">
      <w:start w:val="1"/>
      <w:numFmt w:val="bullet"/>
      <w:lvlText w:val="o"/>
      <w:lvlJc w:val="left"/>
      <w:pPr>
        <w:tabs>
          <w:tab w:val="num" w:pos="1440"/>
        </w:tabs>
        <w:ind w:left="1440" w:hanging="360"/>
      </w:pPr>
      <w:rPr>
        <w:rFonts w:ascii="Courier New" w:hAnsi="Courier New" w:hint="default"/>
        <w:sz w:val="20"/>
      </w:rPr>
    </w:lvl>
    <w:lvl w:ilvl="2" w:tplc="EC8687A0" w:tentative="1">
      <w:start w:val="1"/>
      <w:numFmt w:val="bullet"/>
      <w:lvlText w:val=""/>
      <w:lvlJc w:val="left"/>
      <w:pPr>
        <w:tabs>
          <w:tab w:val="num" w:pos="2160"/>
        </w:tabs>
        <w:ind w:left="2160" w:hanging="360"/>
      </w:pPr>
      <w:rPr>
        <w:rFonts w:ascii="Wingdings" w:hAnsi="Wingdings" w:hint="default"/>
        <w:sz w:val="20"/>
      </w:rPr>
    </w:lvl>
    <w:lvl w:ilvl="3" w:tplc="8124E58A" w:tentative="1">
      <w:start w:val="1"/>
      <w:numFmt w:val="bullet"/>
      <w:lvlText w:val=""/>
      <w:lvlJc w:val="left"/>
      <w:pPr>
        <w:tabs>
          <w:tab w:val="num" w:pos="2880"/>
        </w:tabs>
        <w:ind w:left="2880" w:hanging="360"/>
      </w:pPr>
      <w:rPr>
        <w:rFonts w:ascii="Wingdings" w:hAnsi="Wingdings" w:hint="default"/>
        <w:sz w:val="20"/>
      </w:rPr>
    </w:lvl>
    <w:lvl w:ilvl="4" w:tplc="72E06342" w:tentative="1">
      <w:start w:val="1"/>
      <w:numFmt w:val="bullet"/>
      <w:lvlText w:val=""/>
      <w:lvlJc w:val="left"/>
      <w:pPr>
        <w:tabs>
          <w:tab w:val="num" w:pos="3600"/>
        </w:tabs>
        <w:ind w:left="3600" w:hanging="360"/>
      </w:pPr>
      <w:rPr>
        <w:rFonts w:ascii="Wingdings" w:hAnsi="Wingdings" w:hint="default"/>
        <w:sz w:val="20"/>
      </w:rPr>
    </w:lvl>
    <w:lvl w:ilvl="5" w:tplc="34A0628E" w:tentative="1">
      <w:start w:val="1"/>
      <w:numFmt w:val="bullet"/>
      <w:lvlText w:val=""/>
      <w:lvlJc w:val="left"/>
      <w:pPr>
        <w:tabs>
          <w:tab w:val="num" w:pos="4320"/>
        </w:tabs>
        <w:ind w:left="4320" w:hanging="360"/>
      </w:pPr>
      <w:rPr>
        <w:rFonts w:ascii="Wingdings" w:hAnsi="Wingdings" w:hint="default"/>
        <w:sz w:val="20"/>
      </w:rPr>
    </w:lvl>
    <w:lvl w:ilvl="6" w:tplc="39FCFC4C" w:tentative="1">
      <w:start w:val="1"/>
      <w:numFmt w:val="bullet"/>
      <w:lvlText w:val=""/>
      <w:lvlJc w:val="left"/>
      <w:pPr>
        <w:tabs>
          <w:tab w:val="num" w:pos="5040"/>
        </w:tabs>
        <w:ind w:left="5040" w:hanging="360"/>
      </w:pPr>
      <w:rPr>
        <w:rFonts w:ascii="Wingdings" w:hAnsi="Wingdings" w:hint="default"/>
        <w:sz w:val="20"/>
      </w:rPr>
    </w:lvl>
    <w:lvl w:ilvl="7" w:tplc="8EEEDC78" w:tentative="1">
      <w:start w:val="1"/>
      <w:numFmt w:val="bullet"/>
      <w:lvlText w:val=""/>
      <w:lvlJc w:val="left"/>
      <w:pPr>
        <w:tabs>
          <w:tab w:val="num" w:pos="5760"/>
        </w:tabs>
        <w:ind w:left="5760" w:hanging="360"/>
      </w:pPr>
      <w:rPr>
        <w:rFonts w:ascii="Wingdings" w:hAnsi="Wingdings" w:hint="default"/>
        <w:sz w:val="20"/>
      </w:rPr>
    </w:lvl>
    <w:lvl w:ilvl="8" w:tplc="69AE964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34BAE"/>
    <w:multiLevelType w:val="hybridMultilevel"/>
    <w:tmpl w:val="9CF26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066E8"/>
    <w:multiLevelType w:val="multilevel"/>
    <w:tmpl w:val="977CD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81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410BD5"/>
    <w:multiLevelType w:val="hybridMultilevel"/>
    <w:tmpl w:val="3E800F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412FC"/>
    <w:multiLevelType w:val="hybridMultilevel"/>
    <w:tmpl w:val="FC5866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6246D"/>
    <w:multiLevelType w:val="multilevel"/>
    <w:tmpl w:val="69E2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429E2"/>
    <w:multiLevelType w:val="multilevel"/>
    <w:tmpl w:val="E2B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51483"/>
    <w:multiLevelType w:val="hybridMultilevel"/>
    <w:tmpl w:val="4EE28F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667C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461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C76625"/>
    <w:multiLevelType w:val="hybridMultilevel"/>
    <w:tmpl w:val="B588A57E"/>
    <w:lvl w:ilvl="0" w:tplc="647C86FE">
      <w:start w:val="1"/>
      <w:numFmt w:val="decimal"/>
      <w:lvlText w:val="%1."/>
      <w:lvlJc w:val="left"/>
      <w:pPr>
        <w:tabs>
          <w:tab w:val="num" w:pos="720"/>
        </w:tabs>
        <w:ind w:left="720" w:hanging="360"/>
      </w:pPr>
    </w:lvl>
    <w:lvl w:ilvl="1" w:tplc="66E6E09E">
      <w:start w:val="1"/>
      <w:numFmt w:val="decimal"/>
      <w:lvlText w:val="%2."/>
      <w:lvlJc w:val="left"/>
      <w:pPr>
        <w:tabs>
          <w:tab w:val="num" w:pos="1440"/>
        </w:tabs>
        <w:ind w:left="1440" w:hanging="360"/>
      </w:pPr>
    </w:lvl>
    <w:lvl w:ilvl="2" w:tplc="89C4CB52" w:tentative="1">
      <w:start w:val="1"/>
      <w:numFmt w:val="decimal"/>
      <w:lvlText w:val="%3."/>
      <w:lvlJc w:val="left"/>
      <w:pPr>
        <w:tabs>
          <w:tab w:val="num" w:pos="2160"/>
        </w:tabs>
        <w:ind w:left="2160" w:hanging="360"/>
      </w:pPr>
    </w:lvl>
    <w:lvl w:ilvl="3" w:tplc="C2C0CDF0" w:tentative="1">
      <w:start w:val="1"/>
      <w:numFmt w:val="decimal"/>
      <w:lvlText w:val="%4."/>
      <w:lvlJc w:val="left"/>
      <w:pPr>
        <w:tabs>
          <w:tab w:val="num" w:pos="2880"/>
        </w:tabs>
        <w:ind w:left="2880" w:hanging="360"/>
      </w:pPr>
    </w:lvl>
    <w:lvl w:ilvl="4" w:tplc="256E555A" w:tentative="1">
      <w:start w:val="1"/>
      <w:numFmt w:val="decimal"/>
      <w:lvlText w:val="%5."/>
      <w:lvlJc w:val="left"/>
      <w:pPr>
        <w:tabs>
          <w:tab w:val="num" w:pos="3600"/>
        </w:tabs>
        <w:ind w:left="3600" w:hanging="360"/>
      </w:pPr>
    </w:lvl>
    <w:lvl w:ilvl="5" w:tplc="CE00717E" w:tentative="1">
      <w:start w:val="1"/>
      <w:numFmt w:val="decimal"/>
      <w:lvlText w:val="%6."/>
      <w:lvlJc w:val="left"/>
      <w:pPr>
        <w:tabs>
          <w:tab w:val="num" w:pos="4320"/>
        </w:tabs>
        <w:ind w:left="4320" w:hanging="360"/>
      </w:pPr>
    </w:lvl>
    <w:lvl w:ilvl="6" w:tplc="4E72D804" w:tentative="1">
      <w:start w:val="1"/>
      <w:numFmt w:val="decimal"/>
      <w:lvlText w:val="%7."/>
      <w:lvlJc w:val="left"/>
      <w:pPr>
        <w:tabs>
          <w:tab w:val="num" w:pos="5040"/>
        </w:tabs>
        <w:ind w:left="5040" w:hanging="360"/>
      </w:pPr>
    </w:lvl>
    <w:lvl w:ilvl="7" w:tplc="938E39D4" w:tentative="1">
      <w:start w:val="1"/>
      <w:numFmt w:val="decimal"/>
      <w:lvlText w:val="%8."/>
      <w:lvlJc w:val="left"/>
      <w:pPr>
        <w:tabs>
          <w:tab w:val="num" w:pos="5760"/>
        </w:tabs>
        <w:ind w:left="5760" w:hanging="360"/>
      </w:pPr>
    </w:lvl>
    <w:lvl w:ilvl="8" w:tplc="DD628A92" w:tentative="1">
      <w:start w:val="1"/>
      <w:numFmt w:val="decimal"/>
      <w:lvlText w:val="%9."/>
      <w:lvlJc w:val="left"/>
      <w:pPr>
        <w:tabs>
          <w:tab w:val="num" w:pos="6480"/>
        </w:tabs>
        <w:ind w:left="6480" w:hanging="360"/>
      </w:pPr>
    </w:lvl>
  </w:abstractNum>
  <w:abstractNum w:abstractNumId="14" w15:restartNumberingAfterBreak="0">
    <w:nsid w:val="63B8569A"/>
    <w:multiLevelType w:val="hybridMultilevel"/>
    <w:tmpl w:val="46860F8A"/>
    <w:lvl w:ilvl="0" w:tplc="1F541944">
      <w:start w:val="1"/>
      <w:numFmt w:val="bullet"/>
      <w:lvlText w:val=""/>
      <w:lvlJc w:val="left"/>
      <w:pPr>
        <w:tabs>
          <w:tab w:val="num" w:pos="2160"/>
        </w:tabs>
        <w:ind w:left="2160" w:hanging="360"/>
      </w:pPr>
      <w:rPr>
        <w:rFonts w:ascii="Symbol" w:hAnsi="Symbol" w:hint="default"/>
        <w:sz w:val="20"/>
      </w:rPr>
    </w:lvl>
    <w:lvl w:ilvl="1" w:tplc="A7E8FCF2" w:tentative="1">
      <w:start w:val="1"/>
      <w:numFmt w:val="bullet"/>
      <w:lvlText w:val="o"/>
      <w:lvlJc w:val="left"/>
      <w:pPr>
        <w:tabs>
          <w:tab w:val="num" w:pos="2880"/>
        </w:tabs>
        <w:ind w:left="2880" w:hanging="360"/>
      </w:pPr>
      <w:rPr>
        <w:rFonts w:ascii="Courier New" w:hAnsi="Courier New" w:hint="default"/>
        <w:sz w:val="20"/>
      </w:rPr>
    </w:lvl>
    <w:lvl w:ilvl="2" w:tplc="848EA64A" w:tentative="1">
      <w:start w:val="1"/>
      <w:numFmt w:val="bullet"/>
      <w:lvlText w:val=""/>
      <w:lvlJc w:val="left"/>
      <w:pPr>
        <w:tabs>
          <w:tab w:val="num" w:pos="3600"/>
        </w:tabs>
        <w:ind w:left="3600" w:hanging="360"/>
      </w:pPr>
      <w:rPr>
        <w:rFonts w:ascii="Wingdings" w:hAnsi="Wingdings" w:hint="default"/>
        <w:sz w:val="20"/>
      </w:rPr>
    </w:lvl>
    <w:lvl w:ilvl="3" w:tplc="0CCE919C" w:tentative="1">
      <w:start w:val="1"/>
      <w:numFmt w:val="bullet"/>
      <w:lvlText w:val=""/>
      <w:lvlJc w:val="left"/>
      <w:pPr>
        <w:tabs>
          <w:tab w:val="num" w:pos="4320"/>
        </w:tabs>
        <w:ind w:left="4320" w:hanging="360"/>
      </w:pPr>
      <w:rPr>
        <w:rFonts w:ascii="Wingdings" w:hAnsi="Wingdings" w:hint="default"/>
        <w:sz w:val="20"/>
      </w:rPr>
    </w:lvl>
    <w:lvl w:ilvl="4" w:tplc="8EBAFD50" w:tentative="1">
      <w:start w:val="1"/>
      <w:numFmt w:val="bullet"/>
      <w:lvlText w:val=""/>
      <w:lvlJc w:val="left"/>
      <w:pPr>
        <w:tabs>
          <w:tab w:val="num" w:pos="5040"/>
        </w:tabs>
        <w:ind w:left="5040" w:hanging="360"/>
      </w:pPr>
      <w:rPr>
        <w:rFonts w:ascii="Wingdings" w:hAnsi="Wingdings" w:hint="default"/>
        <w:sz w:val="20"/>
      </w:rPr>
    </w:lvl>
    <w:lvl w:ilvl="5" w:tplc="8B90B918" w:tentative="1">
      <w:start w:val="1"/>
      <w:numFmt w:val="bullet"/>
      <w:lvlText w:val=""/>
      <w:lvlJc w:val="left"/>
      <w:pPr>
        <w:tabs>
          <w:tab w:val="num" w:pos="5760"/>
        </w:tabs>
        <w:ind w:left="5760" w:hanging="360"/>
      </w:pPr>
      <w:rPr>
        <w:rFonts w:ascii="Wingdings" w:hAnsi="Wingdings" w:hint="default"/>
        <w:sz w:val="20"/>
      </w:rPr>
    </w:lvl>
    <w:lvl w:ilvl="6" w:tplc="3E0A7170" w:tentative="1">
      <w:start w:val="1"/>
      <w:numFmt w:val="bullet"/>
      <w:lvlText w:val=""/>
      <w:lvlJc w:val="left"/>
      <w:pPr>
        <w:tabs>
          <w:tab w:val="num" w:pos="6480"/>
        </w:tabs>
        <w:ind w:left="6480" w:hanging="360"/>
      </w:pPr>
      <w:rPr>
        <w:rFonts w:ascii="Wingdings" w:hAnsi="Wingdings" w:hint="default"/>
        <w:sz w:val="20"/>
      </w:rPr>
    </w:lvl>
    <w:lvl w:ilvl="7" w:tplc="7828143A" w:tentative="1">
      <w:start w:val="1"/>
      <w:numFmt w:val="bullet"/>
      <w:lvlText w:val=""/>
      <w:lvlJc w:val="left"/>
      <w:pPr>
        <w:tabs>
          <w:tab w:val="num" w:pos="7200"/>
        </w:tabs>
        <w:ind w:left="7200" w:hanging="360"/>
      </w:pPr>
      <w:rPr>
        <w:rFonts w:ascii="Wingdings" w:hAnsi="Wingdings" w:hint="default"/>
        <w:sz w:val="20"/>
      </w:rPr>
    </w:lvl>
    <w:lvl w:ilvl="8" w:tplc="58EA6A4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7DAF6DE0"/>
    <w:multiLevelType w:val="multilevel"/>
    <w:tmpl w:val="F85E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10"/>
  </w:num>
  <w:num w:numId="5">
    <w:abstractNumId w:val="7"/>
  </w:num>
  <w:num w:numId="6">
    <w:abstractNumId w:val="6"/>
  </w:num>
  <w:num w:numId="7">
    <w:abstractNumId w:val="2"/>
  </w:num>
  <w:num w:numId="8">
    <w:abstractNumId w:val="9"/>
  </w:num>
  <w:num w:numId="9">
    <w:abstractNumId w:val="13"/>
    <w:lvlOverride w:ilvl="1">
      <w:lvl w:ilvl="1" w:tplc="66E6E09E">
        <w:numFmt w:val="lowerLetter"/>
        <w:lvlText w:val="%2."/>
        <w:lvlJc w:val="left"/>
      </w:lvl>
    </w:lvlOverride>
  </w:num>
  <w:num w:numId="10">
    <w:abstractNumId w:val="15"/>
  </w:num>
  <w:num w:numId="11">
    <w:abstractNumId w:val="0"/>
  </w:num>
  <w:num w:numId="12">
    <w:abstractNumId w:val="14"/>
  </w:num>
  <w:num w:numId="13">
    <w:abstractNumId w:val="5"/>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78"/>
    <w:rsid w:val="00094E5D"/>
    <w:rsid w:val="000B103E"/>
    <w:rsid w:val="000B6FA2"/>
    <w:rsid w:val="000F796F"/>
    <w:rsid w:val="00100DAD"/>
    <w:rsid w:val="00110658"/>
    <w:rsid w:val="001743AA"/>
    <w:rsid w:val="00184F27"/>
    <w:rsid w:val="001B5C2F"/>
    <w:rsid w:val="001E5571"/>
    <w:rsid w:val="00214E9B"/>
    <w:rsid w:val="002A3EB5"/>
    <w:rsid w:val="00301202"/>
    <w:rsid w:val="003142DC"/>
    <w:rsid w:val="00327B6F"/>
    <w:rsid w:val="003315AF"/>
    <w:rsid w:val="00376352"/>
    <w:rsid w:val="00392BF0"/>
    <w:rsid w:val="003A1478"/>
    <w:rsid w:val="003E4360"/>
    <w:rsid w:val="003E54A2"/>
    <w:rsid w:val="00415308"/>
    <w:rsid w:val="00542F32"/>
    <w:rsid w:val="005463A0"/>
    <w:rsid w:val="0059346A"/>
    <w:rsid w:val="005B5520"/>
    <w:rsid w:val="005D639C"/>
    <w:rsid w:val="005F53D3"/>
    <w:rsid w:val="0063688D"/>
    <w:rsid w:val="00672420"/>
    <w:rsid w:val="00675938"/>
    <w:rsid w:val="006764E5"/>
    <w:rsid w:val="006B0D74"/>
    <w:rsid w:val="006E5F4E"/>
    <w:rsid w:val="00741BF7"/>
    <w:rsid w:val="0076036B"/>
    <w:rsid w:val="007647E6"/>
    <w:rsid w:val="007829ED"/>
    <w:rsid w:val="007931B9"/>
    <w:rsid w:val="007E2F1C"/>
    <w:rsid w:val="00807645"/>
    <w:rsid w:val="00874B3A"/>
    <w:rsid w:val="008D4D36"/>
    <w:rsid w:val="008E10A1"/>
    <w:rsid w:val="0091491F"/>
    <w:rsid w:val="009575AB"/>
    <w:rsid w:val="00957721"/>
    <w:rsid w:val="00961151"/>
    <w:rsid w:val="009830F6"/>
    <w:rsid w:val="009842BD"/>
    <w:rsid w:val="009842FD"/>
    <w:rsid w:val="009C49E7"/>
    <w:rsid w:val="009C73BC"/>
    <w:rsid w:val="00A020E0"/>
    <w:rsid w:val="00A64663"/>
    <w:rsid w:val="00A66EBE"/>
    <w:rsid w:val="00A958F1"/>
    <w:rsid w:val="00AA14ED"/>
    <w:rsid w:val="00AB337F"/>
    <w:rsid w:val="00B02AF7"/>
    <w:rsid w:val="00B05BEC"/>
    <w:rsid w:val="00B33A55"/>
    <w:rsid w:val="00B34B09"/>
    <w:rsid w:val="00B41D81"/>
    <w:rsid w:val="00B646B0"/>
    <w:rsid w:val="00B7664B"/>
    <w:rsid w:val="00B80682"/>
    <w:rsid w:val="00CA3199"/>
    <w:rsid w:val="00CD03AF"/>
    <w:rsid w:val="00D1210F"/>
    <w:rsid w:val="00D82FDE"/>
    <w:rsid w:val="00DB64CD"/>
    <w:rsid w:val="00DC2F25"/>
    <w:rsid w:val="00DE6DB2"/>
    <w:rsid w:val="00E462FC"/>
    <w:rsid w:val="00E47877"/>
    <w:rsid w:val="00E64D3D"/>
    <w:rsid w:val="00E825A4"/>
    <w:rsid w:val="00EB1265"/>
    <w:rsid w:val="00ED698B"/>
    <w:rsid w:val="00EF139B"/>
    <w:rsid w:val="00EF65B2"/>
    <w:rsid w:val="00F237FB"/>
    <w:rsid w:val="00F74EF7"/>
    <w:rsid w:val="00F90B29"/>
    <w:rsid w:val="00FA13DC"/>
    <w:rsid w:val="00FE0EF5"/>
    <w:rsid w:val="00FE1EEC"/>
    <w:rsid w:val="00FF45E0"/>
    <w:rsid w:val="024AE1B8"/>
    <w:rsid w:val="0273501B"/>
    <w:rsid w:val="03A3ADA2"/>
    <w:rsid w:val="03B24E56"/>
    <w:rsid w:val="04896624"/>
    <w:rsid w:val="04E1DE53"/>
    <w:rsid w:val="0533BD0A"/>
    <w:rsid w:val="061BE966"/>
    <w:rsid w:val="0717675D"/>
    <w:rsid w:val="0749CCEB"/>
    <w:rsid w:val="08AEABC4"/>
    <w:rsid w:val="099156E8"/>
    <w:rsid w:val="099C5B82"/>
    <w:rsid w:val="09D9959F"/>
    <w:rsid w:val="0A53AD7B"/>
    <w:rsid w:val="0B2D2749"/>
    <w:rsid w:val="0BFE3182"/>
    <w:rsid w:val="0D5AA077"/>
    <w:rsid w:val="0EABF4CD"/>
    <w:rsid w:val="0EC1B867"/>
    <w:rsid w:val="0F03041B"/>
    <w:rsid w:val="105BD88C"/>
    <w:rsid w:val="1410EE8E"/>
    <w:rsid w:val="149180BB"/>
    <w:rsid w:val="1801E781"/>
    <w:rsid w:val="1A1C4ED7"/>
    <w:rsid w:val="1DA6794C"/>
    <w:rsid w:val="1DB316FE"/>
    <w:rsid w:val="1F004D7E"/>
    <w:rsid w:val="2132B5BD"/>
    <w:rsid w:val="21AB3784"/>
    <w:rsid w:val="249CB656"/>
    <w:rsid w:val="29258164"/>
    <w:rsid w:val="2A3721FE"/>
    <w:rsid w:val="2A38D159"/>
    <w:rsid w:val="2AF5296E"/>
    <w:rsid w:val="2AF57C70"/>
    <w:rsid w:val="2B1CB268"/>
    <w:rsid w:val="2BB386CA"/>
    <w:rsid w:val="2BF82EFA"/>
    <w:rsid w:val="2C88C527"/>
    <w:rsid w:val="30CF60C9"/>
    <w:rsid w:val="318D9815"/>
    <w:rsid w:val="31D5E764"/>
    <w:rsid w:val="353745AB"/>
    <w:rsid w:val="3596B63E"/>
    <w:rsid w:val="36492723"/>
    <w:rsid w:val="372C1BF2"/>
    <w:rsid w:val="38BD89A5"/>
    <w:rsid w:val="3CEA63DB"/>
    <w:rsid w:val="3FD42A29"/>
    <w:rsid w:val="418095CF"/>
    <w:rsid w:val="46268E99"/>
    <w:rsid w:val="479F8D5C"/>
    <w:rsid w:val="47CEAFA5"/>
    <w:rsid w:val="499B5B3F"/>
    <w:rsid w:val="4A6274AE"/>
    <w:rsid w:val="4F00BDBD"/>
    <w:rsid w:val="5084FCA5"/>
    <w:rsid w:val="5093A242"/>
    <w:rsid w:val="50C7E9A0"/>
    <w:rsid w:val="52F636E2"/>
    <w:rsid w:val="53399E1E"/>
    <w:rsid w:val="554540F7"/>
    <w:rsid w:val="55EA4C33"/>
    <w:rsid w:val="585D621F"/>
    <w:rsid w:val="593CF000"/>
    <w:rsid w:val="5AD1571F"/>
    <w:rsid w:val="5C3968AF"/>
    <w:rsid w:val="5D7E4023"/>
    <w:rsid w:val="5E08F7E1"/>
    <w:rsid w:val="5F8782E5"/>
    <w:rsid w:val="5FD07A20"/>
    <w:rsid w:val="609BDCCF"/>
    <w:rsid w:val="613100ED"/>
    <w:rsid w:val="61AF0030"/>
    <w:rsid w:val="625C9FB1"/>
    <w:rsid w:val="62840212"/>
    <w:rsid w:val="62A1F8FD"/>
    <w:rsid w:val="641C563A"/>
    <w:rsid w:val="661B9623"/>
    <w:rsid w:val="66B2E18B"/>
    <w:rsid w:val="67467AAD"/>
    <w:rsid w:val="67948AD0"/>
    <w:rsid w:val="6796B1CA"/>
    <w:rsid w:val="6846ACBE"/>
    <w:rsid w:val="692FF6A5"/>
    <w:rsid w:val="69658228"/>
    <w:rsid w:val="6A48E8A6"/>
    <w:rsid w:val="6C6C2EE2"/>
    <w:rsid w:val="6C852303"/>
    <w:rsid w:val="6CCD3168"/>
    <w:rsid w:val="6DB88DEC"/>
    <w:rsid w:val="6FF0F6EB"/>
    <w:rsid w:val="7776A4FE"/>
    <w:rsid w:val="7941666E"/>
    <w:rsid w:val="7C1B5634"/>
    <w:rsid w:val="7E3EB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35E0"/>
  <w15:chartTrackingRefBased/>
  <w15:docId w15:val="{259F9805-ED74-B349-ADB0-9FDE8F42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78"/>
    <w:pPr>
      <w:ind w:left="720"/>
      <w:contextualSpacing/>
    </w:pPr>
  </w:style>
  <w:style w:type="paragraph" w:styleId="NormalWeb">
    <w:name w:val="Normal (Web)"/>
    <w:basedOn w:val="Normal"/>
    <w:uiPriority w:val="99"/>
    <w:unhideWhenUsed/>
    <w:rsid w:val="00B41D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4663"/>
    <w:rPr>
      <w:color w:val="0000FF"/>
      <w:u w:val="single"/>
    </w:rPr>
  </w:style>
  <w:style w:type="character" w:customStyle="1" w:styleId="apple-tab-span">
    <w:name w:val="apple-tab-span"/>
    <w:basedOn w:val="DefaultParagraphFont"/>
    <w:rsid w:val="0063688D"/>
  </w:style>
  <w:style w:type="paragraph" w:styleId="Header">
    <w:name w:val="header"/>
    <w:basedOn w:val="Normal"/>
    <w:link w:val="HeaderChar"/>
    <w:uiPriority w:val="99"/>
    <w:unhideWhenUsed/>
    <w:rsid w:val="003315AF"/>
    <w:pPr>
      <w:tabs>
        <w:tab w:val="center" w:pos="4680"/>
        <w:tab w:val="right" w:pos="9360"/>
      </w:tabs>
    </w:pPr>
  </w:style>
  <w:style w:type="character" w:customStyle="1" w:styleId="HeaderChar">
    <w:name w:val="Header Char"/>
    <w:basedOn w:val="DefaultParagraphFont"/>
    <w:link w:val="Header"/>
    <w:uiPriority w:val="99"/>
    <w:rsid w:val="003315AF"/>
  </w:style>
  <w:style w:type="paragraph" w:styleId="Footer">
    <w:name w:val="footer"/>
    <w:basedOn w:val="Normal"/>
    <w:link w:val="FooterChar"/>
    <w:uiPriority w:val="99"/>
    <w:unhideWhenUsed/>
    <w:rsid w:val="003315AF"/>
    <w:pPr>
      <w:tabs>
        <w:tab w:val="center" w:pos="4680"/>
        <w:tab w:val="right" w:pos="9360"/>
      </w:tabs>
    </w:pPr>
  </w:style>
  <w:style w:type="character" w:customStyle="1" w:styleId="FooterChar">
    <w:name w:val="Footer Char"/>
    <w:basedOn w:val="DefaultParagraphFont"/>
    <w:link w:val="Footer"/>
    <w:uiPriority w:val="99"/>
    <w:rsid w:val="003315AF"/>
  </w:style>
  <w:style w:type="character" w:styleId="FollowedHyperlink">
    <w:name w:val="FollowedHyperlink"/>
    <w:basedOn w:val="DefaultParagraphFont"/>
    <w:uiPriority w:val="99"/>
    <w:semiHidden/>
    <w:unhideWhenUsed/>
    <w:rsid w:val="005D639C"/>
    <w:rPr>
      <w:color w:val="954F72" w:themeColor="followedHyperlink"/>
      <w:u w:val="single"/>
    </w:rPr>
  </w:style>
  <w:style w:type="character" w:styleId="UnresolvedMention">
    <w:name w:val="Unresolved Mention"/>
    <w:basedOn w:val="DefaultParagraphFont"/>
    <w:uiPriority w:val="99"/>
    <w:semiHidden/>
    <w:unhideWhenUsed/>
    <w:rsid w:val="0091491F"/>
    <w:rPr>
      <w:color w:val="605E5C"/>
      <w:shd w:val="clear" w:color="auto" w:fill="E1DFDD"/>
    </w:rPr>
  </w:style>
  <w:style w:type="character" w:styleId="Strong">
    <w:name w:val="Strong"/>
    <w:basedOn w:val="DefaultParagraphFont"/>
    <w:uiPriority w:val="22"/>
    <w:qFormat/>
    <w:rsid w:val="00E64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470">
      <w:bodyDiv w:val="1"/>
      <w:marLeft w:val="0"/>
      <w:marRight w:val="0"/>
      <w:marTop w:val="0"/>
      <w:marBottom w:val="0"/>
      <w:divBdr>
        <w:top w:val="none" w:sz="0" w:space="0" w:color="auto"/>
        <w:left w:val="none" w:sz="0" w:space="0" w:color="auto"/>
        <w:bottom w:val="none" w:sz="0" w:space="0" w:color="auto"/>
        <w:right w:val="none" w:sz="0" w:space="0" w:color="auto"/>
      </w:divBdr>
    </w:div>
    <w:div w:id="311712735">
      <w:bodyDiv w:val="1"/>
      <w:marLeft w:val="0"/>
      <w:marRight w:val="0"/>
      <w:marTop w:val="0"/>
      <w:marBottom w:val="0"/>
      <w:divBdr>
        <w:top w:val="none" w:sz="0" w:space="0" w:color="auto"/>
        <w:left w:val="none" w:sz="0" w:space="0" w:color="auto"/>
        <w:bottom w:val="none" w:sz="0" w:space="0" w:color="auto"/>
        <w:right w:val="none" w:sz="0" w:space="0" w:color="auto"/>
      </w:divBdr>
    </w:div>
    <w:div w:id="648633871">
      <w:bodyDiv w:val="1"/>
      <w:marLeft w:val="0"/>
      <w:marRight w:val="0"/>
      <w:marTop w:val="0"/>
      <w:marBottom w:val="0"/>
      <w:divBdr>
        <w:top w:val="none" w:sz="0" w:space="0" w:color="auto"/>
        <w:left w:val="none" w:sz="0" w:space="0" w:color="auto"/>
        <w:bottom w:val="none" w:sz="0" w:space="0" w:color="auto"/>
        <w:right w:val="none" w:sz="0" w:space="0" w:color="auto"/>
      </w:divBdr>
    </w:div>
    <w:div w:id="713041577">
      <w:bodyDiv w:val="1"/>
      <w:marLeft w:val="0"/>
      <w:marRight w:val="0"/>
      <w:marTop w:val="0"/>
      <w:marBottom w:val="0"/>
      <w:divBdr>
        <w:top w:val="none" w:sz="0" w:space="0" w:color="auto"/>
        <w:left w:val="none" w:sz="0" w:space="0" w:color="auto"/>
        <w:bottom w:val="none" w:sz="0" w:space="0" w:color="auto"/>
        <w:right w:val="none" w:sz="0" w:space="0" w:color="auto"/>
      </w:divBdr>
    </w:div>
    <w:div w:id="740178460">
      <w:bodyDiv w:val="1"/>
      <w:marLeft w:val="0"/>
      <w:marRight w:val="0"/>
      <w:marTop w:val="0"/>
      <w:marBottom w:val="0"/>
      <w:divBdr>
        <w:top w:val="none" w:sz="0" w:space="0" w:color="auto"/>
        <w:left w:val="none" w:sz="0" w:space="0" w:color="auto"/>
        <w:bottom w:val="none" w:sz="0" w:space="0" w:color="auto"/>
        <w:right w:val="none" w:sz="0" w:space="0" w:color="auto"/>
      </w:divBdr>
    </w:div>
    <w:div w:id="767117132">
      <w:bodyDiv w:val="1"/>
      <w:marLeft w:val="0"/>
      <w:marRight w:val="0"/>
      <w:marTop w:val="0"/>
      <w:marBottom w:val="0"/>
      <w:divBdr>
        <w:top w:val="none" w:sz="0" w:space="0" w:color="auto"/>
        <w:left w:val="none" w:sz="0" w:space="0" w:color="auto"/>
        <w:bottom w:val="none" w:sz="0" w:space="0" w:color="auto"/>
        <w:right w:val="none" w:sz="0" w:space="0" w:color="auto"/>
      </w:divBdr>
    </w:div>
    <w:div w:id="768741263">
      <w:bodyDiv w:val="1"/>
      <w:marLeft w:val="0"/>
      <w:marRight w:val="0"/>
      <w:marTop w:val="0"/>
      <w:marBottom w:val="0"/>
      <w:divBdr>
        <w:top w:val="none" w:sz="0" w:space="0" w:color="auto"/>
        <w:left w:val="none" w:sz="0" w:space="0" w:color="auto"/>
        <w:bottom w:val="none" w:sz="0" w:space="0" w:color="auto"/>
        <w:right w:val="none" w:sz="0" w:space="0" w:color="auto"/>
      </w:divBdr>
    </w:div>
    <w:div w:id="802431601">
      <w:bodyDiv w:val="1"/>
      <w:marLeft w:val="0"/>
      <w:marRight w:val="0"/>
      <w:marTop w:val="0"/>
      <w:marBottom w:val="0"/>
      <w:divBdr>
        <w:top w:val="none" w:sz="0" w:space="0" w:color="auto"/>
        <w:left w:val="none" w:sz="0" w:space="0" w:color="auto"/>
        <w:bottom w:val="none" w:sz="0" w:space="0" w:color="auto"/>
        <w:right w:val="none" w:sz="0" w:space="0" w:color="auto"/>
      </w:divBdr>
    </w:div>
    <w:div w:id="868490190">
      <w:bodyDiv w:val="1"/>
      <w:marLeft w:val="0"/>
      <w:marRight w:val="0"/>
      <w:marTop w:val="0"/>
      <w:marBottom w:val="0"/>
      <w:divBdr>
        <w:top w:val="none" w:sz="0" w:space="0" w:color="auto"/>
        <w:left w:val="none" w:sz="0" w:space="0" w:color="auto"/>
        <w:bottom w:val="none" w:sz="0" w:space="0" w:color="auto"/>
        <w:right w:val="none" w:sz="0" w:space="0" w:color="auto"/>
      </w:divBdr>
    </w:div>
    <w:div w:id="901015846">
      <w:bodyDiv w:val="1"/>
      <w:marLeft w:val="0"/>
      <w:marRight w:val="0"/>
      <w:marTop w:val="0"/>
      <w:marBottom w:val="0"/>
      <w:divBdr>
        <w:top w:val="none" w:sz="0" w:space="0" w:color="auto"/>
        <w:left w:val="none" w:sz="0" w:space="0" w:color="auto"/>
        <w:bottom w:val="none" w:sz="0" w:space="0" w:color="auto"/>
        <w:right w:val="none" w:sz="0" w:space="0" w:color="auto"/>
      </w:divBdr>
    </w:div>
    <w:div w:id="956564581">
      <w:bodyDiv w:val="1"/>
      <w:marLeft w:val="0"/>
      <w:marRight w:val="0"/>
      <w:marTop w:val="0"/>
      <w:marBottom w:val="0"/>
      <w:divBdr>
        <w:top w:val="none" w:sz="0" w:space="0" w:color="auto"/>
        <w:left w:val="none" w:sz="0" w:space="0" w:color="auto"/>
        <w:bottom w:val="none" w:sz="0" w:space="0" w:color="auto"/>
        <w:right w:val="none" w:sz="0" w:space="0" w:color="auto"/>
      </w:divBdr>
    </w:div>
    <w:div w:id="957492902">
      <w:bodyDiv w:val="1"/>
      <w:marLeft w:val="0"/>
      <w:marRight w:val="0"/>
      <w:marTop w:val="0"/>
      <w:marBottom w:val="0"/>
      <w:divBdr>
        <w:top w:val="none" w:sz="0" w:space="0" w:color="auto"/>
        <w:left w:val="none" w:sz="0" w:space="0" w:color="auto"/>
        <w:bottom w:val="none" w:sz="0" w:space="0" w:color="auto"/>
        <w:right w:val="none" w:sz="0" w:space="0" w:color="auto"/>
      </w:divBdr>
    </w:div>
    <w:div w:id="1043285772">
      <w:bodyDiv w:val="1"/>
      <w:marLeft w:val="0"/>
      <w:marRight w:val="0"/>
      <w:marTop w:val="0"/>
      <w:marBottom w:val="0"/>
      <w:divBdr>
        <w:top w:val="none" w:sz="0" w:space="0" w:color="auto"/>
        <w:left w:val="none" w:sz="0" w:space="0" w:color="auto"/>
        <w:bottom w:val="none" w:sz="0" w:space="0" w:color="auto"/>
        <w:right w:val="none" w:sz="0" w:space="0" w:color="auto"/>
      </w:divBdr>
    </w:div>
    <w:div w:id="1089933536">
      <w:bodyDiv w:val="1"/>
      <w:marLeft w:val="0"/>
      <w:marRight w:val="0"/>
      <w:marTop w:val="0"/>
      <w:marBottom w:val="0"/>
      <w:divBdr>
        <w:top w:val="none" w:sz="0" w:space="0" w:color="auto"/>
        <w:left w:val="none" w:sz="0" w:space="0" w:color="auto"/>
        <w:bottom w:val="none" w:sz="0" w:space="0" w:color="auto"/>
        <w:right w:val="none" w:sz="0" w:space="0" w:color="auto"/>
      </w:divBdr>
    </w:div>
    <w:div w:id="1175994792">
      <w:bodyDiv w:val="1"/>
      <w:marLeft w:val="0"/>
      <w:marRight w:val="0"/>
      <w:marTop w:val="0"/>
      <w:marBottom w:val="0"/>
      <w:divBdr>
        <w:top w:val="none" w:sz="0" w:space="0" w:color="auto"/>
        <w:left w:val="none" w:sz="0" w:space="0" w:color="auto"/>
        <w:bottom w:val="none" w:sz="0" w:space="0" w:color="auto"/>
        <w:right w:val="none" w:sz="0" w:space="0" w:color="auto"/>
      </w:divBdr>
    </w:div>
    <w:div w:id="1178932496">
      <w:bodyDiv w:val="1"/>
      <w:marLeft w:val="0"/>
      <w:marRight w:val="0"/>
      <w:marTop w:val="0"/>
      <w:marBottom w:val="0"/>
      <w:divBdr>
        <w:top w:val="none" w:sz="0" w:space="0" w:color="auto"/>
        <w:left w:val="none" w:sz="0" w:space="0" w:color="auto"/>
        <w:bottom w:val="none" w:sz="0" w:space="0" w:color="auto"/>
        <w:right w:val="none" w:sz="0" w:space="0" w:color="auto"/>
      </w:divBdr>
    </w:div>
    <w:div w:id="1260067141">
      <w:bodyDiv w:val="1"/>
      <w:marLeft w:val="0"/>
      <w:marRight w:val="0"/>
      <w:marTop w:val="0"/>
      <w:marBottom w:val="0"/>
      <w:divBdr>
        <w:top w:val="none" w:sz="0" w:space="0" w:color="auto"/>
        <w:left w:val="none" w:sz="0" w:space="0" w:color="auto"/>
        <w:bottom w:val="none" w:sz="0" w:space="0" w:color="auto"/>
        <w:right w:val="none" w:sz="0" w:space="0" w:color="auto"/>
      </w:divBdr>
      <w:divsChild>
        <w:div w:id="704211810">
          <w:marLeft w:val="0"/>
          <w:marRight w:val="0"/>
          <w:marTop w:val="0"/>
          <w:marBottom w:val="0"/>
          <w:divBdr>
            <w:top w:val="none" w:sz="0" w:space="0" w:color="auto"/>
            <w:left w:val="none" w:sz="0" w:space="0" w:color="auto"/>
            <w:bottom w:val="none" w:sz="0" w:space="0" w:color="auto"/>
            <w:right w:val="none" w:sz="0" w:space="0" w:color="auto"/>
          </w:divBdr>
        </w:div>
      </w:divsChild>
    </w:div>
    <w:div w:id="1381242409">
      <w:bodyDiv w:val="1"/>
      <w:marLeft w:val="0"/>
      <w:marRight w:val="0"/>
      <w:marTop w:val="0"/>
      <w:marBottom w:val="0"/>
      <w:divBdr>
        <w:top w:val="none" w:sz="0" w:space="0" w:color="auto"/>
        <w:left w:val="none" w:sz="0" w:space="0" w:color="auto"/>
        <w:bottom w:val="none" w:sz="0" w:space="0" w:color="auto"/>
        <w:right w:val="none" w:sz="0" w:space="0" w:color="auto"/>
      </w:divBdr>
    </w:div>
    <w:div w:id="1440419090">
      <w:bodyDiv w:val="1"/>
      <w:marLeft w:val="0"/>
      <w:marRight w:val="0"/>
      <w:marTop w:val="0"/>
      <w:marBottom w:val="0"/>
      <w:divBdr>
        <w:top w:val="none" w:sz="0" w:space="0" w:color="auto"/>
        <w:left w:val="none" w:sz="0" w:space="0" w:color="auto"/>
        <w:bottom w:val="none" w:sz="0" w:space="0" w:color="auto"/>
        <w:right w:val="none" w:sz="0" w:space="0" w:color="auto"/>
      </w:divBdr>
    </w:div>
    <w:div w:id="1543251722">
      <w:bodyDiv w:val="1"/>
      <w:marLeft w:val="0"/>
      <w:marRight w:val="0"/>
      <w:marTop w:val="0"/>
      <w:marBottom w:val="0"/>
      <w:divBdr>
        <w:top w:val="none" w:sz="0" w:space="0" w:color="auto"/>
        <w:left w:val="none" w:sz="0" w:space="0" w:color="auto"/>
        <w:bottom w:val="none" w:sz="0" w:space="0" w:color="auto"/>
        <w:right w:val="none" w:sz="0" w:space="0" w:color="auto"/>
      </w:divBdr>
    </w:div>
    <w:div w:id="1672951949">
      <w:bodyDiv w:val="1"/>
      <w:marLeft w:val="0"/>
      <w:marRight w:val="0"/>
      <w:marTop w:val="0"/>
      <w:marBottom w:val="0"/>
      <w:divBdr>
        <w:top w:val="none" w:sz="0" w:space="0" w:color="auto"/>
        <w:left w:val="none" w:sz="0" w:space="0" w:color="auto"/>
        <w:bottom w:val="none" w:sz="0" w:space="0" w:color="auto"/>
        <w:right w:val="none" w:sz="0" w:space="0" w:color="auto"/>
      </w:divBdr>
    </w:div>
    <w:div w:id="1752577558">
      <w:bodyDiv w:val="1"/>
      <w:marLeft w:val="0"/>
      <w:marRight w:val="0"/>
      <w:marTop w:val="0"/>
      <w:marBottom w:val="0"/>
      <w:divBdr>
        <w:top w:val="none" w:sz="0" w:space="0" w:color="auto"/>
        <w:left w:val="none" w:sz="0" w:space="0" w:color="auto"/>
        <w:bottom w:val="none" w:sz="0" w:space="0" w:color="auto"/>
        <w:right w:val="none" w:sz="0" w:space="0" w:color="auto"/>
      </w:divBdr>
    </w:div>
    <w:div w:id="1859151238">
      <w:bodyDiv w:val="1"/>
      <w:marLeft w:val="0"/>
      <w:marRight w:val="0"/>
      <w:marTop w:val="0"/>
      <w:marBottom w:val="0"/>
      <w:divBdr>
        <w:top w:val="none" w:sz="0" w:space="0" w:color="auto"/>
        <w:left w:val="none" w:sz="0" w:space="0" w:color="auto"/>
        <w:bottom w:val="none" w:sz="0" w:space="0" w:color="auto"/>
        <w:right w:val="none" w:sz="0" w:space="0" w:color="auto"/>
      </w:divBdr>
    </w:div>
    <w:div w:id="1906604673">
      <w:bodyDiv w:val="1"/>
      <w:marLeft w:val="0"/>
      <w:marRight w:val="0"/>
      <w:marTop w:val="0"/>
      <w:marBottom w:val="0"/>
      <w:divBdr>
        <w:top w:val="none" w:sz="0" w:space="0" w:color="auto"/>
        <w:left w:val="none" w:sz="0" w:space="0" w:color="auto"/>
        <w:bottom w:val="none" w:sz="0" w:space="0" w:color="auto"/>
        <w:right w:val="none" w:sz="0" w:space="0" w:color="auto"/>
      </w:divBdr>
    </w:div>
    <w:div w:id="1938706001">
      <w:bodyDiv w:val="1"/>
      <w:marLeft w:val="0"/>
      <w:marRight w:val="0"/>
      <w:marTop w:val="0"/>
      <w:marBottom w:val="0"/>
      <w:divBdr>
        <w:top w:val="none" w:sz="0" w:space="0" w:color="auto"/>
        <w:left w:val="none" w:sz="0" w:space="0" w:color="auto"/>
        <w:bottom w:val="none" w:sz="0" w:space="0" w:color="auto"/>
        <w:right w:val="none" w:sz="0" w:space="0" w:color="auto"/>
      </w:divBdr>
    </w:div>
    <w:div w:id="2016371382">
      <w:bodyDiv w:val="1"/>
      <w:marLeft w:val="0"/>
      <w:marRight w:val="0"/>
      <w:marTop w:val="0"/>
      <w:marBottom w:val="0"/>
      <w:divBdr>
        <w:top w:val="none" w:sz="0" w:space="0" w:color="auto"/>
        <w:left w:val="none" w:sz="0" w:space="0" w:color="auto"/>
        <w:bottom w:val="none" w:sz="0" w:space="0" w:color="auto"/>
        <w:right w:val="none" w:sz="0" w:space="0" w:color="auto"/>
      </w:divBdr>
    </w:div>
    <w:div w:id="2120831241">
      <w:bodyDiv w:val="1"/>
      <w:marLeft w:val="0"/>
      <w:marRight w:val="0"/>
      <w:marTop w:val="0"/>
      <w:marBottom w:val="0"/>
      <w:divBdr>
        <w:top w:val="none" w:sz="0" w:space="0" w:color="auto"/>
        <w:left w:val="none" w:sz="0" w:space="0" w:color="auto"/>
        <w:bottom w:val="none" w:sz="0" w:space="0" w:color="auto"/>
        <w:right w:val="none" w:sz="0" w:space="0" w:color="auto"/>
      </w:divBdr>
      <w:divsChild>
        <w:div w:id="550268522">
          <w:marLeft w:val="0"/>
          <w:marRight w:val="0"/>
          <w:marTop w:val="0"/>
          <w:marBottom w:val="0"/>
          <w:divBdr>
            <w:top w:val="none" w:sz="0" w:space="0" w:color="auto"/>
            <w:left w:val="none" w:sz="0" w:space="0" w:color="auto"/>
            <w:bottom w:val="none" w:sz="0" w:space="0" w:color="auto"/>
            <w:right w:val="none" w:sz="0" w:space="0" w:color="auto"/>
          </w:divBdr>
          <w:divsChild>
            <w:div w:id="1380860133">
              <w:marLeft w:val="0"/>
              <w:marRight w:val="0"/>
              <w:marTop w:val="0"/>
              <w:marBottom w:val="0"/>
              <w:divBdr>
                <w:top w:val="none" w:sz="0" w:space="0" w:color="auto"/>
                <w:left w:val="none" w:sz="0" w:space="0" w:color="auto"/>
                <w:bottom w:val="none" w:sz="0" w:space="0" w:color="auto"/>
                <w:right w:val="none" w:sz="0" w:space="0" w:color="auto"/>
              </w:divBdr>
              <w:divsChild>
                <w:div w:id="401682968">
                  <w:marLeft w:val="0"/>
                  <w:marRight w:val="0"/>
                  <w:marTop w:val="0"/>
                  <w:marBottom w:val="0"/>
                  <w:divBdr>
                    <w:top w:val="none" w:sz="0" w:space="0" w:color="auto"/>
                    <w:left w:val="none" w:sz="0" w:space="0" w:color="auto"/>
                    <w:bottom w:val="none" w:sz="0" w:space="0" w:color="auto"/>
                    <w:right w:val="none" w:sz="0" w:space="0" w:color="auto"/>
                  </w:divBdr>
                  <w:divsChild>
                    <w:div w:id="1110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850503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nationalcouncil.org/connected/youth-adult-partnership-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nd.org/pubs/research_briefs/RBA207-1.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hw.hrsa.gov/sites/default/files/bureau-health-workforce/about-us/hhs-health-workforce-strategic-plan-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1" ma:contentTypeDescription="Create a new document." ma:contentTypeScope="" ma:versionID="39b65e69ceb829f9067c6b2831749280">
  <xsd:schema xmlns:xsd="http://www.w3.org/2001/XMLSchema" xmlns:xs="http://www.w3.org/2001/XMLSchema" xmlns:p="http://schemas.microsoft.com/office/2006/metadata/properties" xmlns:ns2="c2c01d84-181e-48b7-bebf-2f1f1a7f0c1b" targetNamespace="http://schemas.microsoft.com/office/2006/metadata/properties" ma:root="true" ma:fieldsID="84bad874ca05fc34757077c75311303e" ns2:_="">
    <xsd:import namespace="c2c01d84-181e-48b7-bebf-2f1f1a7f0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0E2D6-7F0F-4B71-85A3-597EA86CFF71}">
  <ds:schemaRefs>
    <ds:schemaRef ds:uri="http://schemas.microsoft.com/sharepoint/v3/contenttype/forms"/>
  </ds:schemaRefs>
</ds:datastoreItem>
</file>

<file path=customXml/itemProps2.xml><?xml version="1.0" encoding="utf-8"?>
<ds:datastoreItem xmlns:ds="http://schemas.openxmlformats.org/officeDocument/2006/customXml" ds:itemID="{EFCA144B-786A-49EF-A282-018993A5B421}"/>
</file>

<file path=customXml/itemProps3.xml><?xml version="1.0" encoding="utf-8"?>
<ds:datastoreItem xmlns:ds="http://schemas.openxmlformats.org/officeDocument/2006/customXml" ds:itemID="{D0D59ECA-3ABD-4801-AA82-109C0641B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DiMario, Sharron (dimarism)</cp:lastModifiedBy>
  <cp:revision>4</cp:revision>
  <dcterms:created xsi:type="dcterms:W3CDTF">2021-10-28T19:26:00Z</dcterms:created>
  <dcterms:modified xsi:type="dcterms:W3CDTF">2021-10-28T21:15:00Z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ies>
</file>