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0118" w14:textId="7478B74A" w:rsidR="00B34B09" w:rsidRPr="000B6FA2" w:rsidRDefault="006764E5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  <w:r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UC </w:t>
      </w:r>
      <w:r w:rsidR="00B34B09" w:rsidRPr="7776A4FE">
        <w:rPr>
          <w:rFonts w:ascii="Open Sans" w:eastAsia="Open Sans" w:hAnsi="Open Sans" w:cs="Open Sans"/>
          <w:b/>
          <w:bCs/>
          <w:color w:val="000000" w:themeColor="text1"/>
        </w:rPr>
        <w:t>Area Health Education Center (AHEC)</w:t>
      </w:r>
      <w:r w:rsidR="00FF45E0"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 </w:t>
      </w:r>
      <w:r w:rsidRPr="7776A4FE">
        <w:rPr>
          <w:rFonts w:ascii="Open Sans" w:eastAsia="Open Sans" w:hAnsi="Open Sans" w:cs="Open Sans"/>
          <w:b/>
          <w:bCs/>
          <w:color w:val="000000" w:themeColor="text1"/>
        </w:rPr>
        <w:t>Resources</w:t>
      </w:r>
      <w:r w:rsidR="2AF5296E"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: </w:t>
      </w:r>
      <w:r w:rsidR="006B46BA">
        <w:rPr>
          <w:rFonts w:ascii="Open Sans" w:eastAsia="Open Sans" w:hAnsi="Open Sans" w:cs="Open Sans"/>
          <w:b/>
          <w:bCs/>
          <w:color w:val="000000" w:themeColor="text1"/>
        </w:rPr>
        <w:t>June 2022</w:t>
      </w:r>
      <w:bookmarkStart w:id="0" w:name="_GoBack"/>
      <w:bookmarkEnd w:id="0"/>
    </w:p>
    <w:p w14:paraId="7A5F94CF" w14:textId="562B67AB" w:rsidR="7776A4FE" w:rsidRDefault="7776A4FE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</w:p>
    <w:p w14:paraId="7EEC5A7A" w14:textId="1F120A3C" w:rsidR="03B24E56" w:rsidRDefault="03B24E56" w:rsidP="00E825A4">
      <w:pPr>
        <w:jc w:val="center"/>
        <w:rPr>
          <w:rFonts w:ascii="Open Sans" w:eastAsia="Open Sans" w:hAnsi="Open Sans" w:cs="Open Sans"/>
        </w:rPr>
      </w:pPr>
      <w:r w:rsidRPr="7776A4FE">
        <w:rPr>
          <w:rFonts w:ascii="Open Sans" w:eastAsia="Open Sans" w:hAnsi="Open Sans" w:cs="Open Sans"/>
        </w:rPr>
        <w:t>This resource guide highlights upcoming webinars</w:t>
      </w:r>
      <w:r w:rsidR="6A48E8A6" w:rsidRPr="7776A4FE">
        <w:rPr>
          <w:rFonts w:ascii="Open Sans" w:eastAsia="Open Sans" w:hAnsi="Open Sans" w:cs="Open Sans"/>
        </w:rPr>
        <w:t xml:space="preserve">, </w:t>
      </w:r>
      <w:r w:rsidRPr="7776A4FE">
        <w:rPr>
          <w:rFonts w:ascii="Open Sans" w:eastAsia="Open Sans" w:hAnsi="Open Sans" w:cs="Open Sans"/>
        </w:rPr>
        <w:t xml:space="preserve">activities </w:t>
      </w:r>
      <w:r w:rsidR="03A3ADA2" w:rsidRPr="7776A4FE">
        <w:rPr>
          <w:rFonts w:ascii="Open Sans" w:eastAsia="Open Sans" w:hAnsi="Open Sans" w:cs="Open Sans"/>
        </w:rPr>
        <w:t xml:space="preserve">and organizations </w:t>
      </w:r>
      <w:r w:rsidRPr="7776A4FE">
        <w:rPr>
          <w:rFonts w:ascii="Open Sans" w:eastAsia="Open Sans" w:hAnsi="Open Sans" w:cs="Open Sans"/>
        </w:rPr>
        <w:t xml:space="preserve">of interest </w:t>
      </w:r>
      <w:r w:rsidR="4A6274AE" w:rsidRPr="7776A4FE">
        <w:rPr>
          <w:rFonts w:ascii="Open Sans" w:eastAsia="Open Sans" w:hAnsi="Open Sans" w:cs="Open Sans"/>
        </w:rPr>
        <w:t>and is</w:t>
      </w:r>
      <w:r w:rsidRPr="7776A4FE">
        <w:rPr>
          <w:rFonts w:ascii="Open Sans" w:eastAsia="Open Sans" w:hAnsi="Open Sans" w:cs="Open Sans"/>
        </w:rPr>
        <w:t xml:space="preserve"> organized by topic and type of activity. </w:t>
      </w:r>
    </w:p>
    <w:p w14:paraId="121F712C" w14:textId="77777777" w:rsidR="00E825A4" w:rsidRDefault="00E825A4" w:rsidP="00E825A4">
      <w:pPr>
        <w:jc w:val="center"/>
        <w:rPr>
          <w:rFonts w:ascii="Open Sans" w:eastAsia="Open Sans" w:hAnsi="Open Sans" w:cs="Open Sans"/>
        </w:rPr>
      </w:pPr>
    </w:p>
    <w:p w14:paraId="2B6B174E" w14:textId="01A8C7EB" w:rsidR="00F90B29" w:rsidRPr="000B6FA2" w:rsidRDefault="03B24E56" w:rsidP="2132B5BD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b/>
          <w:bCs/>
          <w:i/>
          <w:iCs/>
          <w:color w:val="000000"/>
        </w:rPr>
      </w:pP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Healthcare </w:t>
      </w:r>
      <w:r w:rsidR="6FF0F6EB"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</w:t>
      </w: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orkforce and Pipeline</w:t>
      </w:r>
    </w:p>
    <w:p w14:paraId="0354AF5B" w14:textId="54D3FE07" w:rsidR="00ED698B" w:rsidRDefault="00235508" w:rsidP="00ED698B">
      <w:pPr>
        <w:spacing w:before="240" w:after="240"/>
        <w:rPr>
          <w:rFonts w:ascii="Open Sans" w:hAnsi="Open Sans" w:cs="Open Sans"/>
          <w:color w:val="464646"/>
        </w:rPr>
      </w:pPr>
      <w:r>
        <w:rPr>
          <w:rFonts w:ascii="Open Sans" w:hAnsi="Open Sans" w:cs="Open Sans"/>
          <w:color w:val="FF0000"/>
        </w:rPr>
        <w:t>ANNOUNCEMENT</w:t>
      </w:r>
      <w:r w:rsidR="00E64D3D" w:rsidRPr="00E64D3D">
        <w:rPr>
          <w:rFonts w:ascii="Open Sans" w:hAnsi="Open Sans" w:cs="Open Sans"/>
          <w:color w:val="FF0000"/>
        </w:rPr>
        <w:t>:</w:t>
      </w:r>
      <w:r>
        <w:rPr>
          <w:rFonts w:ascii="Open Sans" w:hAnsi="Open Sans" w:cs="Open Sans"/>
          <w:color w:val="FF0000"/>
        </w:rPr>
        <w:t xml:space="preserve"> </w:t>
      </w:r>
      <w:r>
        <w:rPr>
          <w:rFonts w:ascii="Open Sans" w:hAnsi="Open Sans" w:cs="Open Sans"/>
        </w:rPr>
        <w:t>Governor Mike DeWine, Ohio Mental Health and Addiction Services and the Ohio Department of Higher Education recently announced an $85</w:t>
      </w:r>
      <w:r w:rsidR="00067C0F">
        <w:rPr>
          <w:rFonts w:ascii="Open Sans" w:hAnsi="Open Sans" w:cs="Open Sans"/>
        </w:rPr>
        <w:t xml:space="preserve"> million </w:t>
      </w:r>
      <w:r>
        <w:rPr>
          <w:rFonts w:ascii="Open Sans" w:hAnsi="Open Sans" w:cs="Open Sans"/>
        </w:rPr>
        <w:t>investment to grow the behavioral healthcare workforce. Th</w:t>
      </w:r>
      <w:r w:rsidR="00067C0F">
        <w:rPr>
          <w:rFonts w:ascii="Open Sans" w:hAnsi="Open Sans" w:cs="Open Sans"/>
        </w:rPr>
        <w:t>is</w:t>
      </w:r>
      <w:r>
        <w:rPr>
          <w:rFonts w:ascii="Open Sans" w:hAnsi="Open Sans" w:cs="Open Sans"/>
        </w:rPr>
        <w:t xml:space="preserve"> gives the state an opportunity to make education more attainable and affordable for students interested in behavioral health careers.</w:t>
      </w:r>
      <w:r w:rsidR="00E64D3D">
        <w:rPr>
          <w:rFonts w:ascii="Open Sans" w:hAnsi="Open Sans" w:cs="Open Sans"/>
          <w:color w:val="464646"/>
        </w:rPr>
        <w:t xml:space="preserve"> </w:t>
      </w:r>
      <w:r w:rsidR="00E42681" w:rsidRPr="00235508">
        <w:rPr>
          <w:rFonts w:ascii="Open Sans" w:hAnsi="Open Sans" w:cs="Open Sans"/>
          <w:color w:val="4472C4" w:themeColor="accent1"/>
        </w:rPr>
        <w:t>https://governor.ohio.gov/media/news-and-media/Governor-DeWine-Announces-Proposal-for-85M-Investment-to-Grow-Ohio-Behavioral-Healthcare-Workforce-05132022</w:t>
      </w:r>
      <w:r>
        <w:rPr>
          <w:rFonts w:ascii="Open Sans" w:hAnsi="Open Sans" w:cs="Open Sans"/>
          <w:color w:val="464646"/>
        </w:rPr>
        <w:t xml:space="preserve"> </w:t>
      </w:r>
    </w:p>
    <w:p w14:paraId="56AECE08" w14:textId="77777777" w:rsidR="00067C0F" w:rsidRDefault="00067C0F" w:rsidP="00067C0F">
      <w:pPr>
        <w:rPr>
          <w:rFonts w:ascii="Open Sans" w:hAnsi="Open Sans" w:cs="Open Sans"/>
          <w:color w:val="575757"/>
        </w:rPr>
      </w:pPr>
      <w:r>
        <w:rPr>
          <w:rFonts w:ascii="Open Sans" w:hAnsi="Open Sans" w:cs="Open Sans"/>
          <w:color w:val="FF0000"/>
        </w:rPr>
        <w:t>TOOL</w:t>
      </w:r>
      <w:r w:rsidRPr="00094E5D">
        <w:rPr>
          <w:rFonts w:ascii="Open Sans" w:hAnsi="Open Sans" w:cs="Open Sans"/>
          <w:color w:val="FF0000"/>
        </w:rPr>
        <w:t>:</w:t>
      </w:r>
      <w:r w:rsidRPr="00094E5D">
        <w:rPr>
          <w:rFonts w:ascii="Open Sans" w:hAnsi="Open Sans" w:cs="Open Sans"/>
          <w:color w:val="575757"/>
        </w:rPr>
        <w:t xml:space="preserve"> </w:t>
      </w:r>
      <w:r>
        <w:rPr>
          <w:rFonts w:ascii="Open Sans" w:hAnsi="Open Sans" w:cs="Open Sans"/>
          <w:color w:val="575757"/>
        </w:rPr>
        <w:t xml:space="preserve">Jobs for the Future created “Guided Career Pathways: Credentials That Lead to Careers” to inform post-secondary institutions on a new model for rapid reskilling, acknowledging and granting credit for skills gained through work with a focus on racial and socio-economic equity. </w:t>
      </w:r>
      <w:r w:rsidRPr="00067C0F">
        <w:rPr>
          <w:rFonts w:ascii="Open Sans" w:hAnsi="Open Sans" w:cs="Open Sans"/>
          <w:color w:val="4472C4" w:themeColor="accent1"/>
        </w:rPr>
        <w:t>https://info.jff.org/guided-career-pathways-</w:t>
      </w:r>
      <w:r>
        <w:rPr>
          <w:rFonts w:ascii="Open Sans" w:hAnsi="Open Sans" w:cs="Open Sans"/>
          <w:color w:val="4472C4" w:themeColor="accent1"/>
        </w:rPr>
        <w:t>f</w:t>
      </w:r>
      <w:r w:rsidRPr="00067C0F">
        <w:rPr>
          <w:rFonts w:ascii="Open Sans" w:hAnsi="Open Sans" w:cs="Open Sans"/>
          <w:color w:val="4472C4" w:themeColor="accent1"/>
        </w:rPr>
        <w:t>ramework?utm_medium=email&amp;_hsmi=213696636&amp;_hsenc=p2ANqtz-82WqJHDAvBbeYHjNGHey9EXDxY8Hs6BCn1Q1VcRwx-NXY7FZ3l6-sbLfnNWLPNlKnAZEnL82whXIJ-h4970oAru5QEcw&amp;utm_content=213696636&amp;utm_source=hs_email</w:t>
      </w:r>
    </w:p>
    <w:p w14:paraId="535A8873" w14:textId="2F84B37C" w:rsidR="00D1210F" w:rsidRDefault="7E3EB2BD" w:rsidP="00ED698B">
      <w:pPr>
        <w:spacing w:before="240" w:after="240"/>
        <w:rPr>
          <w:rFonts w:ascii="Open Sans" w:eastAsia="Open Sans" w:hAnsi="Open Sans" w:cs="Open Sans"/>
          <w:b/>
          <w:bCs/>
          <w:i/>
          <w:iCs/>
          <w:color w:val="000000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Strategic Regional </w:t>
      </w:r>
      <w:r w:rsidR="00AE1940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and National 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Partnerships</w:t>
      </w:r>
    </w:p>
    <w:p w14:paraId="5FA28413" w14:textId="6FEE080B" w:rsidR="00D1210F" w:rsidRDefault="00F67D29" w:rsidP="00094E5D">
      <w:pPr>
        <w:rPr>
          <w:rFonts w:ascii="Open Sans" w:hAnsi="Open Sans" w:cs="Open Sans"/>
          <w:color w:val="0070C0"/>
        </w:rPr>
      </w:pPr>
      <w:r>
        <w:rPr>
          <w:rFonts w:ascii="Open Sans" w:hAnsi="Open Sans" w:cs="Open Sans"/>
          <w:color w:val="FF0000"/>
        </w:rPr>
        <w:t>TOOL</w:t>
      </w:r>
      <w:r w:rsidR="00E825A4" w:rsidRPr="00094E5D">
        <w:rPr>
          <w:rFonts w:ascii="Open Sans" w:hAnsi="Open Sans" w:cs="Open Sans"/>
          <w:color w:val="FF0000"/>
        </w:rPr>
        <w:t>:</w:t>
      </w:r>
      <w:r w:rsidR="00E825A4" w:rsidRPr="00094E5D">
        <w:rPr>
          <w:rFonts w:ascii="Open Sans" w:hAnsi="Open Sans" w:cs="Open Sans"/>
          <w:color w:val="545454"/>
        </w:rPr>
        <w:t xml:space="preserve"> </w:t>
      </w:r>
      <w:r>
        <w:rPr>
          <w:rFonts w:ascii="Open Sans" w:hAnsi="Open Sans" w:cs="Open Sans"/>
          <w:color w:val="545454"/>
        </w:rPr>
        <w:t>Strong partnerships are essential to the success of any coalition. Who’s at your table? This tool from the National Overdose Prevention Network is aimed at stopping overdose deaths</w:t>
      </w:r>
      <w:r w:rsidR="00067C0F">
        <w:rPr>
          <w:rFonts w:ascii="Open Sans" w:hAnsi="Open Sans" w:cs="Open Sans"/>
          <w:color w:val="545454"/>
        </w:rPr>
        <w:t xml:space="preserve"> </w:t>
      </w:r>
      <w:r>
        <w:rPr>
          <w:rFonts w:ascii="Open Sans" w:hAnsi="Open Sans" w:cs="Open Sans"/>
          <w:color w:val="545454"/>
        </w:rPr>
        <w:t>but could be used in any coalition efforts.</w:t>
      </w:r>
      <w:r w:rsidR="00542F32">
        <w:rPr>
          <w:rFonts w:ascii="Open Sans" w:hAnsi="Open Sans" w:cs="Open Sans"/>
          <w:color w:val="545454"/>
        </w:rPr>
        <w:t xml:space="preserve"> </w:t>
      </w:r>
      <w:r w:rsidRPr="00F67D29">
        <w:rPr>
          <w:rFonts w:ascii="Open Sans" w:hAnsi="Open Sans" w:cs="Open Sans"/>
          <w:color w:val="4472C4" w:themeColor="accent1"/>
        </w:rPr>
        <w:t>https://nopn.org/resources/partnership-mapping-tool</w:t>
      </w:r>
    </w:p>
    <w:p w14:paraId="0FE0A736" w14:textId="387B8CDF" w:rsidR="00E825A4" w:rsidRPr="00094E5D" w:rsidRDefault="00E825A4" w:rsidP="00094E5D">
      <w:pPr>
        <w:rPr>
          <w:rFonts w:ascii="Open Sans" w:hAnsi="Open Sans" w:cs="Open Sans"/>
          <w:color w:val="545454"/>
        </w:rPr>
      </w:pPr>
    </w:p>
    <w:p w14:paraId="4A6ADF13" w14:textId="4581DCB5" w:rsidR="1F004D7E" w:rsidRDefault="1F004D7E" w:rsidP="7776A4FE">
      <w:pPr>
        <w:pStyle w:val="NormalWeb"/>
        <w:spacing w:before="0" w:beforeAutospacing="0" w:after="0" w:afterAutospacing="0"/>
        <w:rPr>
          <w:rFonts w:ascii="Open Sans" w:eastAsia="Open Sans" w:hAnsi="Open Sans" w:cs="Open Sans"/>
          <w:b/>
          <w:bCs/>
          <w:i/>
          <w:iCs/>
          <w:color w:val="000000" w:themeColor="text1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Interprofess</w:t>
      </w:r>
      <w:r w:rsidR="00214E9B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onal Learners </w:t>
      </w:r>
      <w:r w:rsidR="2C88C527"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who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 Serve the Community </w:t>
      </w:r>
    </w:p>
    <w:p w14:paraId="52E56223" w14:textId="77777777" w:rsidR="00B34B09" w:rsidRPr="005D639C" w:rsidRDefault="00B34B09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i/>
          <w:iCs/>
          <w:color w:val="000000"/>
        </w:rPr>
      </w:pPr>
    </w:p>
    <w:p w14:paraId="7A94075D" w14:textId="39D138A7" w:rsidR="007829ED" w:rsidRPr="007829ED" w:rsidRDefault="007829ED" w:rsidP="007829ED">
      <w:pPr>
        <w:rPr>
          <w:rFonts w:ascii="Open Sans" w:hAnsi="Open Sans" w:cs="Open Sans"/>
        </w:rPr>
      </w:pPr>
      <w:r>
        <w:rPr>
          <w:rFonts w:ascii="Open Sans" w:hAnsi="Open Sans" w:cs="Open Sans"/>
          <w:color w:val="FF0000"/>
        </w:rPr>
        <w:t>RESOURCE</w:t>
      </w:r>
      <w:r w:rsidR="0091491F" w:rsidRPr="00094E5D">
        <w:rPr>
          <w:rFonts w:ascii="Open Sans" w:hAnsi="Open Sans" w:cs="Open Sans"/>
          <w:color w:val="FF0000"/>
        </w:rPr>
        <w:t>:</w:t>
      </w:r>
      <w:r w:rsidR="0091491F" w:rsidRPr="00094E5D">
        <w:rPr>
          <w:rFonts w:ascii="Open Sans" w:hAnsi="Open Sans" w:cs="Open Sans"/>
        </w:rPr>
        <w:t xml:space="preserve"> </w:t>
      </w:r>
      <w:r w:rsidR="006B46BA">
        <w:rPr>
          <w:rFonts w:ascii="Open Sans" w:hAnsi="Open Sans" w:cs="Open Sans"/>
        </w:rPr>
        <w:t xml:space="preserve">“Interprofessional Collaboration’s Effect on an Individual’s Well-Being” shares background on the importance of well-being, along with mindfulness tools and a well-being assessment. </w:t>
      </w:r>
      <w:r w:rsidR="006B46BA" w:rsidRPr="006B46BA">
        <w:rPr>
          <w:rFonts w:ascii="Open Sans" w:hAnsi="Open Sans" w:cs="Open Sans"/>
          <w:color w:val="4472C4" w:themeColor="accent1"/>
        </w:rPr>
        <w:t>https://ipe.umn.edu/students-faculty/collaboration-insights/interprofessional-collaborations-effect-individuals</w:t>
      </w:r>
    </w:p>
    <w:p w14:paraId="67DC8DB4" w14:textId="1BEB7D8A" w:rsidR="006E5F4E" w:rsidRPr="00094E5D" w:rsidRDefault="006E5F4E" w:rsidP="00094E5D">
      <w:pPr>
        <w:rPr>
          <w:rFonts w:ascii="Open Sans" w:hAnsi="Open Sans" w:cs="Open Sans"/>
        </w:rPr>
      </w:pPr>
    </w:p>
    <w:p w14:paraId="2B2EBB7D" w14:textId="6EF784B6" w:rsidR="0091491F" w:rsidRDefault="0091491F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000000"/>
        </w:rPr>
      </w:pPr>
    </w:p>
    <w:p w14:paraId="28AB292A" w14:textId="77777777" w:rsidR="0091491F" w:rsidRPr="0091491F" w:rsidRDefault="0091491F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000000"/>
        </w:rPr>
      </w:pPr>
    </w:p>
    <w:sectPr w:rsidR="0091491F" w:rsidRPr="0091491F" w:rsidSect="006E5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3E1D" w14:textId="77777777" w:rsidR="001F7A44" w:rsidRDefault="001F7A44" w:rsidP="003315AF">
      <w:r>
        <w:separator/>
      </w:r>
    </w:p>
  </w:endnote>
  <w:endnote w:type="continuationSeparator" w:id="0">
    <w:p w14:paraId="420BDFE4" w14:textId="77777777" w:rsidR="001F7A44" w:rsidRDefault="001F7A44" w:rsidP="0033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C1DD" w14:textId="77777777" w:rsidR="001F7A44" w:rsidRDefault="001F7A44" w:rsidP="003315AF">
      <w:r>
        <w:separator/>
      </w:r>
    </w:p>
  </w:footnote>
  <w:footnote w:type="continuationSeparator" w:id="0">
    <w:p w14:paraId="717B5720" w14:textId="77777777" w:rsidR="001F7A44" w:rsidRDefault="001F7A44" w:rsidP="0033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102E"/>
    <w:multiLevelType w:val="multilevel"/>
    <w:tmpl w:val="E85CD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00891"/>
    <w:multiLevelType w:val="multilevel"/>
    <w:tmpl w:val="C80E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B06"/>
    <w:multiLevelType w:val="hybridMultilevel"/>
    <w:tmpl w:val="189A1816"/>
    <w:lvl w:ilvl="0" w:tplc="5344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E6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86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24E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06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A0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CF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EED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E9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BAE"/>
    <w:multiLevelType w:val="hybridMultilevel"/>
    <w:tmpl w:val="9CF2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066E8"/>
    <w:multiLevelType w:val="multilevel"/>
    <w:tmpl w:val="977C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816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410BD5"/>
    <w:multiLevelType w:val="hybridMultilevel"/>
    <w:tmpl w:val="3E80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412FC"/>
    <w:multiLevelType w:val="hybridMultilevel"/>
    <w:tmpl w:val="FC586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246D"/>
    <w:multiLevelType w:val="multilevel"/>
    <w:tmpl w:val="69E2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429E2"/>
    <w:multiLevelType w:val="multilevel"/>
    <w:tmpl w:val="E2B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51483"/>
    <w:multiLevelType w:val="hybridMultilevel"/>
    <w:tmpl w:val="4EE28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67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61B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C76625"/>
    <w:multiLevelType w:val="hybridMultilevel"/>
    <w:tmpl w:val="B588A57E"/>
    <w:lvl w:ilvl="0" w:tplc="647C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6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4C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5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07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2D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E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28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8569A"/>
    <w:multiLevelType w:val="hybridMultilevel"/>
    <w:tmpl w:val="46860F8A"/>
    <w:lvl w:ilvl="0" w:tplc="1F5419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A7E8F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848EA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0CCE9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8EBAF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8B90B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3E0A7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782814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58EA6A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F6DE0"/>
    <w:multiLevelType w:val="multilevel"/>
    <w:tmpl w:val="F85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3"/>
    <w:lvlOverride w:ilvl="1">
      <w:lvl w:ilvl="1" w:tplc="66E6E09E">
        <w:numFmt w:val="lowerLetter"/>
        <w:lvlText w:val="%2."/>
        <w:lvlJc w:val="left"/>
      </w:lvl>
    </w:lvlOverride>
  </w:num>
  <w:num w:numId="10">
    <w:abstractNumId w:val="15"/>
  </w:num>
  <w:num w:numId="11">
    <w:abstractNumId w:val="0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78"/>
    <w:rsid w:val="00067C0F"/>
    <w:rsid w:val="00094E5D"/>
    <w:rsid w:val="000B6FA2"/>
    <w:rsid w:val="000F796F"/>
    <w:rsid w:val="00100DAD"/>
    <w:rsid w:val="00110658"/>
    <w:rsid w:val="001743AA"/>
    <w:rsid w:val="00184F27"/>
    <w:rsid w:val="001A3D5A"/>
    <w:rsid w:val="001B5C2F"/>
    <w:rsid w:val="001E5571"/>
    <w:rsid w:val="001F7A44"/>
    <w:rsid w:val="00214E9B"/>
    <w:rsid w:val="00235508"/>
    <w:rsid w:val="002A3EB5"/>
    <w:rsid w:val="003142DC"/>
    <w:rsid w:val="00327B6F"/>
    <w:rsid w:val="003315AF"/>
    <w:rsid w:val="00376352"/>
    <w:rsid w:val="00392BF0"/>
    <w:rsid w:val="003A1478"/>
    <w:rsid w:val="003B22FC"/>
    <w:rsid w:val="003E4360"/>
    <w:rsid w:val="003E54A2"/>
    <w:rsid w:val="0044350F"/>
    <w:rsid w:val="004A084B"/>
    <w:rsid w:val="004E283A"/>
    <w:rsid w:val="00542F32"/>
    <w:rsid w:val="005463A0"/>
    <w:rsid w:val="0059346A"/>
    <w:rsid w:val="005B5520"/>
    <w:rsid w:val="005D639C"/>
    <w:rsid w:val="005F53D3"/>
    <w:rsid w:val="0063688D"/>
    <w:rsid w:val="00672420"/>
    <w:rsid w:val="00675938"/>
    <w:rsid w:val="006764E5"/>
    <w:rsid w:val="006B0D74"/>
    <w:rsid w:val="006B46BA"/>
    <w:rsid w:val="006E5F4E"/>
    <w:rsid w:val="00741BF7"/>
    <w:rsid w:val="0076036B"/>
    <w:rsid w:val="007829ED"/>
    <w:rsid w:val="007931B9"/>
    <w:rsid w:val="007E2F1C"/>
    <w:rsid w:val="00807645"/>
    <w:rsid w:val="00874B3A"/>
    <w:rsid w:val="008D4D36"/>
    <w:rsid w:val="008E10A1"/>
    <w:rsid w:val="0091491F"/>
    <w:rsid w:val="009575AB"/>
    <w:rsid w:val="00957721"/>
    <w:rsid w:val="00961151"/>
    <w:rsid w:val="009830F6"/>
    <w:rsid w:val="009842BD"/>
    <w:rsid w:val="009842FD"/>
    <w:rsid w:val="009C49E7"/>
    <w:rsid w:val="009C73BC"/>
    <w:rsid w:val="00A64663"/>
    <w:rsid w:val="00A66EBE"/>
    <w:rsid w:val="00A958F1"/>
    <w:rsid w:val="00AE1940"/>
    <w:rsid w:val="00B02AF7"/>
    <w:rsid w:val="00B05BEC"/>
    <w:rsid w:val="00B33A55"/>
    <w:rsid w:val="00B34B09"/>
    <w:rsid w:val="00B41D81"/>
    <w:rsid w:val="00B646B0"/>
    <w:rsid w:val="00B74866"/>
    <w:rsid w:val="00B7664B"/>
    <w:rsid w:val="00B80682"/>
    <w:rsid w:val="00CA3199"/>
    <w:rsid w:val="00D1210F"/>
    <w:rsid w:val="00D82FDE"/>
    <w:rsid w:val="00DB64CD"/>
    <w:rsid w:val="00DC2F25"/>
    <w:rsid w:val="00DE0C69"/>
    <w:rsid w:val="00DE6DB2"/>
    <w:rsid w:val="00E42681"/>
    <w:rsid w:val="00E462FC"/>
    <w:rsid w:val="00E47877"/>
    <w:rsid w:val="00E64D3D"/>
    <w:rsid w:val="00E825A4"/>
    <w:rsid w:val="00EB1265"/>
    <w:rsid w:val="00ED698B"/>
    <w:rsid w:val="00EF139B"/>
    <w:rsid w:val="00EF65B2"/>
    <w:rsid w:val="00F237FB"/>
    <w:rsid w:val="00F67D29"/>
    <w:rsid w:val="00F74EF7"/>
    <w:rsid w:val="00F90B29"/>
    <w:rsid w:val="00FA13DC"/>
    <w:rsid w:val="00FE0EF5"/>
    <w:rsid w:val="00FE1EEC"/>
    <w:rsid w:val="00FF45E0"/>
    <w:rsid w:val="024AE1B8"/>
    <w:rsid w:val="0273501B"/>
    <w:rsid w:val="03A3ADA2"/>
    <w:rsid w:val="03B24E56"/>
    <w:rsid w:val="04896624"/>
    <w:rsid w:val="04E1DE53"/>
    <w:rsid w:val="0533BD0A"/>
    <w:rsid w:val="061BE966"/>
    <w:rsid w:val="0717675D"/>
    <w:rsid w:val="0749CCEB"/>
    <w:rsid w:val="08AEABC4"/>
    <w:rsid w:val="099156E8"/>
    <w:rsid w:val="099C5B82"/>
    <w:rsid w:val="09D9959F"/>
    <w:rsid w:val="0A53AD7B"/>
    <w:rsid w:val="0B2D2749"/>
    <w:rsid w:val="0BFE3182"/>
    <w:rsid w:val="0D5AA077"/>
    <w:rsid w:val="0EABF4CD"/>
    <w:rsid w:val="0EC1B867"/>
    <w:rsid w:val="0F03041B"/>
    <w:rsid w:val="105BD88C"/>
    <w:rsid w:val="1410EE8E"/>
    <w:rsid w:val="149180BB"/>
    <w:rsid w:val="1801E781"/>
    <w:rsid w:val="1A1C4ED7"/>
    <w:rsid w:val="1DA6794C"/>
    <w:rsid w:val="1DB316FE"/>
    <w:rsid w:val="1F004D7E"/>
    <w:rsid w:val="2132B5BD"/>
    <w:rsid w:val="21AB3784"/>
    <w:rsid w:val="249CB656"/>
    <w:rsid w:val="29258164"/>
    <w:rsid w:val="2A3721FE"/>
    <w:rsid w:val="2A38D159"/>
    <w:rsid w:val="2AF5296E"/>
    <w:rsid w:val="2AF57C70"/>
    <w:rsid w:val="2B1CB268"/>
    <w:rsid w:val="2BB386CA"/>
    <w:rsid w:val="2BF82EFA"/>
    <w:rsid w:val="2C88C527"/>
    <w:rsid w:val="30CF60C9"/>
    <w:rsid w:val="318D9815"/>
    <w:rsid w:val="31D5E764"/>
    <w:rsid w:val="353745AB"/>
    <w:rsid w:val="3596B63E"/>
    <w:rsid w:val="36492723"/>
    <w:rsid w:val="372C1BF2"/>
    <w:rsid w:val="38BD89A5"/>
    <w:rsid w:val="3CEA63DB"/>
    <w:rsid w:val="3FD42A29"/>
    <w:rsid w:val="418095CF"/>
    <w:rsid w:val="46268E99"/>
    <w:rsid w:val="479F8D5C"/>
    <w:rsid w:val="47CEAFA5"/>
    <w:rsid w:val="499B5B3F"/>
    <w:rsid w:val="4A6274AE"/>
    <w:rsid w:val="4F00BDBD"/>
    <w:rsid w:val="5084FCA5"/>
    <w:rsid w:val="5093A242"/>
    <w:rsid w:val="50C7E9A0"/>
    <w:rsid w:val="52F636E2"/>
    <w:rsid w:val="53399E1E"/>
    <w:rsid w:val="554540F7"/>
    <w:rsid w:val="55EA4C33"/>
    <w:rsid w:val="585D621F"/>
    <w:rsid w:val="593CF000"/>
    <w:rsid w:val="5AD1571F"/>
    <w:rsid w:val="5C3968AF"/>
    <w:rsid w:val="5D7E4023"/>
    <w:rsid w:val="5E08F7E1"/>
    <w:rsid w:val="5F8782E5"/>
    <w:rsid w:val="5FD07A20"/>
    <w:rsid w:val="609BDCCF"/>
    <w:rsid w:val="613100ED"/>
    <w:rsid w:val="61AF0030"/>
    <w:rsid w:val="625C9FB1"/>
    <w:rsid w:val="62840212"/>
    <w:rsid w:val="62A1F8FD"/>
    <w:rsid w:val="641C563A"/>
    <w:rsid w:val="661B9623"/>
    <w:rsid w:val="66B2E18B"/>
    <w:rsid w:val="67467AAD"/>
    <w:rsid w:val="67948AD0"/>
    <w:rsid w:val="6796B1CA"/>
    <w:rsid w:val="6846ACBE"/>
    <w:rsid w:val="692FF6A5"/>
    <w:rsid w:val="69658228"/>
    <w:rsid w:val="6A48E8A6"/>
    <w:rsid w:val="6C6C2EE2"/>
    <w:rsid w:val="6C852303"/>
    <w:rsid w:val="6CCD3168"/>
    <w:rsid w:val="6DB88DEC"/>
    <w:rsid w:val="6FF0F6EB"/>
    <w:rsid w:val="7776A4FE"/>
    <w:rsid w:val="7941666E"/>
    <w:rsid w:val="7C1B5634"/>
    <w:rsid w:val="7E3E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A35E0"/>
  <w15:chartTrackingRefBased/>
  <w15:docId w15:val="{259F9805-ED74-B349-ADB0-9FDE8F4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466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3688D"/>
  </w:style>
  <w:style w:type="paragraph" w:styleId="Header">
    <w:name w:val="header"/>
    <w:basedOn w:val="Normal"/>
    <w:link w:val="Head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AF"/>
  </w:style>
  <w:style w:type="paragraph" w:styleId="Footer">
    <w:name w:val="footer"/>
    <w:basedOn w:val="Normal"/>
    <w:link w:val="Foot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AF"/>
  </w:style>
  <w:style w:type="character" w:styleId="FollowedHyperlink">
    <w:name w:val="FollowedHyperlink"/>
    <w:basedOn w:val="DefaultParagraphFont"/>
    <w:uiPriority w:val="99"/>
    <w:semiHidden/>
    <w:unhideWhenUsed/>
    <w:rsid w:val="005D63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c01d84-181e-48b7-bebf-2f1f1a7f0c1b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69CACC82E44A8A821580086236FE" ma:contentTypeVersion="16" ma:contentTypeDescription="Create a new document." ma:contentTypeScope="" ma:versionID="48bf11c5aa53a28b8102354411053c9a">
  <xsd:schema xmlns:xsd="http://www.w3.org/2001/XMLSchema" xmlns:xs="http://www.w3.org/2001/XMLSchema" xmlns:p="http://schemas.microsoft.com/office/2006/metadata/properties" xmlns:ns2="c2c01d84-181e-48b7-bebf-2f1f1a7f0c1b" xmlns:ns3="5329e5e2-ac3b-4b18-824f-1fe6a7f7198b" xmlns:ns4="8be56858-bf0c-43d6-954d-be7222281d29" targetNamespace="http://schemas.microsoft.com/office/2006/metadata/properties" ma:root="true" ma:fieldsID="5380f3d8fddd02e5e91c85b8baf2201f" ns2:_="" ns3:_="" ns4:_="">
    <xsd:import namespace="c2c01d84-181e-48b7-bebf-2f1f1a7f0c1b"/>
    <xsd:import namespace="5329e5e2-ac3b-4b18-824f-1fe6a7f7198b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1d84-181e-48b7-bebf-2f1f1a7f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e5e2-ac3b-4b18-824f-1fe6a7f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e36f9-ccfe-46dc-bb1e-5688cb75dfec}" ma:internalName="TaxCatchAll" ma:showField="CatchAllData" ma:web="5329e5e2-ac3b-4b18-824f-1fe6a7f71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59ECA-3ABD-4801-AA82-109C0641B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0E2D6-7F0F-4B71-85A3-597EA86CF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E332A-C015-4877-AD27-A99596429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Pickle, Sarah (picklesr)</dc:creator>
  <cp:keywords/>
  <dc:description/>
  <cp:lastModifiedBy>DiMario, Sharron (dimarism)</cp:lastModifiedBy>
  <cp:revision>8</cp:revision>
  <dcterms:created xsi:type="dcterms:W3CDTF">2022-05-18T20:38:00Z</dcterms:created>
  <dcterms:modified xsi:type="dcterms:W3CDTF">2022-05-20T14:46:00Z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0x010100935F69CACC82E44A8A821580086236FE</vt:lpwstr>
  </property>
</Properties>
</file>